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rPr>
      </w:pPr>
      <w:r>
        <w:rPr>
          <w:rFonts w:hint="default" w:ascii="Times New Roman" w:hAnsi="Times New Roman" w:cs="Times New Roman"/>
          <w:b/>
        </w:rPr>
        <w:t xml:space="preserve">АДМИНИСТРАЦИЯ СЫСОЕВСКОГО СЕЛЬСКОГО ПОСЕЛЕНИЯ </w:t>
      </w:r>
    </w:p>
    <w:p>
      <w:pPr>
        <w:pBdr>
          <w:bottom w:val="single" w:color="auto" w:sz="12" w:space="1"/>
        </w:pBdr>
        <w:jc w:val="center"/>
        <w:rPr>
          <w:rFonts w:hint="default" w:ascii="Times New Roman" w:hAnsi="Times New Roman" w:cs="Times New Roman"/>
          <w:b/>
        </w:rPr>
      </w:pPr>
      <w:r>
        <w:rPr>
          <w:rFonts w:hint="default" w:ascii="Times New Roman" w:hAnsi="Times New Roman" w:cs="Times New Roman"/>
          <w:b/>
        </w:rPr>
        <w:t>СУРОВИКИНСКОГО МУНИЦИПАЛЬНОГО РАЙОНА ВОЛГОГРАДСКОЙ ОБЛАСТИ</w:t>
      </w:r>
    </w:p>
    <w:p>
      <w:pPr>
        <w:jc w:val="center"/>
        <w:rPr>
          <w:rFonts w:hint="default" w:ascii="Times New Roman" w:hAnsi="Times New Roman" w:cs="Times New Roman"/>
          <w:b/>
        </w:rPr>
      </w:pPr>
      <w:r>
        <w:rPr>
          <w:rFonts w:hint="default" w:ascii="Times New Roman" w:hAnsi="Times New Roman" w:cs="Times New Roman"/>
          <w:b/>
        </w:rPr>
        <w:t>404421, х.Сысоевский, Суровикинский район, Волгоградская область, тел. 9-66-97,</w:t>
      </w:r>
    </w:p>
    <w:p>
      <w:pPr>
        <w:jc w:val="center"/>
        <w:rPr>
          <w:rFonts w:hint="default" w:ascii="Times New Roman" w:hAnsi="Times New Roman" w:cs="Times New Roman"/>
          <w:sz w:val="28"/>
          <w:szCs w:val="28"/>
        </w:rPr>
      </w:pPr>
      <w:r>
        <w:rPr>
          <w:rFonts w:hint="default" w:ascii="Times New Roman" w:hAnsi="Times New Roman" w:cs="Times New Roman"/>
          <w:b/>
        </w:rPr>
        <w:t>факс 9-66-22</w:t>
      </w:r>
    </w:p>
    <w:p>
      <w:pPr>
        <w:pStyle w:val="6"/>
        <w:jc w:val="center"/>
        <w:rPr>
          <w:sz w:val="28"/>
          <w:szCs w:val="28"/>
        </w:rPr>
      </w:pPr>
    </w:p>
    <w:p>
      <w:pPr>
        <w:pStyle w:val="6"/>
        <w:jc w:val="center"/>
        <w:rPr>
          <w:sz w:val="28"/>
          <w:szCs w:val="28"/>
          <w:lang w:val="ru-RU"/>
        </w:rPr>
      </w:pPr>
      <w:r>
        <w:rPr>
          <w:sz w:val="28"/>
          <w:szCs w:val="28"/>
          <w:lang w:val="ru-RU"/>
        </w:rPr>
        <w:t>ПОСТАНОВЛЕНИЕ</w:t>
      </w:r>
    </w:p>
    <w:p>
      <w:pPr>
        <w:pStyle w:val="6"/>
        <w:jc w:val="center"/>
        <w:rPr>
          <w:rFonts w:hint="default"/>
          <w:sz w:val="28"/>
          <w:szCs w:val="28"/>
          <w:lang w:val="ru-RU"/>
        </w:rPr>
      </w:pPr>
      <w:r>
        <w:rPr>
          <w:sz w:val="28"/>
          <w:szCs w:val="28"/>
        </w:rPr>
        <w:t xml:space="preserve">от </w:t>
      </w:r>
      <w:r>
        <w:rPr>
          <w:rFonts w:hint="default"/>
          <w:sz w:val="28"/>
          <w:szCs w:val="28"/>
          <w:lang w:val="ru-RU"/>
        </w:rPr>
        <w:t xml:space="preserve">17 января </w:t>
      </w:r>
      <w:r>
        <w:rPr>
          <w:sz w:val="28"/>
          <w:szCs w:val="28"/>
        </w:rPr>
        <w:t>20</w:t>
      </w:r>
      <w:r>
        <w:rPr>
          <w:sz w:val="28"/>
          <w:szCs w:val="28"/>
          <w:lang w:val="en-US"/>
        </w:rPr>
        <w:t>2</w:t>
      </w:r>
      <w:r>
        <w:rPr>
          <w:rFonts w:hint="default"/>
          <w:sz w:val="28"/>
          <w:szCs w:val="28"/>
          <w:lang w:val="ru-RU"/>
        </w:rPr>
        <w:t>4</w:t>
      </w:r>
      <w:r>
        <w:rPr>
          <w:sz w:val="28"/>
          <w:szCs w:val="28"/>
        </w:rPr>
        <w:t xml:space="preserve"> г. №</w:t>
      </w:r>
      <w:r>
        <w:rPr>
          <w:rFonts w:hint="default"/>
          <w:sz w:val="28"/>
          <w:szCs w:val="28"/>
          <w:lang w:val="ru-RU"/>
        </w:rPr>
        <w:t>4</w:t>
      </w:r>
    </w:p>
    <w:p>
      <w:pPr>
        <w:pStyle w:val="6"/>
        <w:jc w:val="center"/>
        <w:rPr>
          <w:sz w:val="28"/>
          <w:szCs w:val="28"/>
        </w:rPr>
      </w:pPr>
    </w:p>
    <w:p>
      <w:pPr>
        <w:pStyle w:val="6"/>
        <w:jc w:val="center"/>
        <w:rPr>
          <w:sz w:val="28"/>
          <w:szCs w:val="28"/>
        </w:rPr>
      </w:pPr>
      <w:r>
        <w:rPr>
          <w:sz w:val="28"/>
          <w:szCs w:val="28"/>
        </w:rPr>
        <w:t>ОБ УТВЕРЖДЕНИИ ПОРЯДКА</w:t>
      </w:r>
    </w:p>
    <w:p>
      <w:pPr>
        <w:pStyle w:val="6"/>
        <w:jc w:val="center"/>
        <w:rPr>
          <w:sz w:val="28"/>
          <w:szCs w:val="28"/>
        </w:rPr>
      </w:pPr>
      <w:r>
        <w:rPr>
          <w:sz w:val="28"/>
          <w:szCs w:val="28"/>
        </w:rPr>
        <w:t>САНКЦИОНИРОВАНИЯ ОПЛАТЫ ДЕНЕЖНЫХ ОБЯЗАТЕЛЬСТВ</w:t>
      </w:r>
    </w:p>
    <w:p>
      <w:pPr>
        <w:pStyle w:val="6"/>
        <w:jc w:val="center"/>
        <w:rPr>
          <w:sz w:val="28"/>
          <w:szCs w:val="28"/>
        </w:rPr>
      </w:pPr>
      <w:r>
        <w:rPr>
          <w:sz w:val="28"/>
          <w:szCs w:val="28"/>
        </w:rPr>
        <w:t>ПОЛУЧАТЕЛЕЙ СРЕДСТВ МЕСТНОГО БЮДЖЕТА И ОПЛАТЫ ДЕНЕЖНЫХ</w:t>
      </w:r>
    </w:p>
    <w:p>
      <w:pPr>
        <w:pStyle w:val="6"/>
        <w:jc w:val="center"/>
        <w:rPr>
          <w:sz w:val="28"/>
          <w:szCs w:val="28"/>
        </w:rPr>
      </w:pPr>
      <w:r>
        <w:rPr>
          <w:sz w:val="28"/>
          <w:szCs w:val="28"/>
        </w:rPr>
        <w:t>ОБЯЗАТЕЛЬСТВ, ПОДЛЕЖАЩИХ ИСПОЛНЕНИЮ ЗА СЧЕТ БЮДЖЕТНЫХ</w:t>
      </w:r>
    </w:p>
    <w:p>
      <w:pPr>
        <w:pStyle w:val="6"/>
        <w:jc w:val="center"/>
        <w:rPr>
          <w:sz w:val="28"/>
          <w:szCs w:val="28"/>
        </w:rPr>
      </w:pPr>
      <w:r>
        <w:rPr>
          <w:sz w:val="28"/>
          <w:szCs w:val="28"/>
        </w:rPr>
        <w:t>АССИГНОВАНИЙ ПО ИСТОЧНИКАМ ФИНАНСИРОВАНИЯ ДЕФИЦИТА</w:t>
      </w:r>
    </w:p>
    <w:p>
      <w:pPr>
        <w:pStyle w:val="6"/>
        <w:jc w:val="center"/>
        <w:rPr>
          <w:sz w:val="28"/>
          <w:szCs w:val="28"/>
        </w:rPr>
      </w:pPr>
      <w:r>
        <w:rPr>
          <w:sz w:val="28"/>
          <w:szCs w:val="28"/>
        </w:rPr>
        <w:t>МЕСТНОГО БЮДЖЕТА</w:t>
      </w:r>
    </w:p>
    <w:p>
      <w:pPr>
        <w:pStyle w:val="5"/>
        <w:jc w:val="both"/>
        <w:rPr>
          <w:sz w:val="28"/>
          <w:szCs w:val="28"/>
        </w:rPr>
      </w:pPr>
    </w:p>
    <w:p>
      <w:pPr>
        <w:pStyle w:val="5"/>
        <w:ind w:firstLine="540"/>
        <w:jc w:val="both"/>
        <w:rPr>
          <w:sz w:val="28"/>
          <w:szCs w:val="28"/>
        </w:rPr>
      </w:pPr>
      <w:r>
        <w:rPr>
          <w:sz w:val="28"/>
          <w:szCs w:val="28"/>
        </w:rPr>
        <w:t xml:space="preserve">В соответствии с </w:t>
      </w:r>
      <w:r>
        <w:fldChar w:fldCharType="begin"/>
      </w:r>
      <w:r>
        <w:instrText xml:space="preserve"> HYPERLINK "consultantplus://offline/ref=B8C358CABE34CB16428F5AB6922F81A28CAF0B031C512096EC042FB4A0E37402F8F59687C5C7E7F58AEB238C1804B139BCDEA130D432kEx4E" </w:instrText>
      </w:r>
      <w:r>
        <w:fldChar w:fldCharType="separate"/>
      </w:r>
      <w:r>
        <w:rPr>
          <w:sz w:val="28"/>
          <w:szCs w:val="28"/>
        </w:rPr>
        <w:t>пунктами 1</w:t>
      </w:r>
      <w:r>
        <w:rPr>
          <w:sz w:val="28"/>
          <w:szCs w:val="28"/>
        </w:rPr>
        <w:fldChar w:fldCharType="end"/>
      </w:r>
      <w:r>
        <w:rPr>
          <w:sz w:val="28"/>
          <w:szCs w:val="28"/>
        </w:rPr>
        <w:t xml:space="preserve">, </w:t>
      </w:r>
      <w:r>
        <w:fldChar w:fldCharType="begin"/>
      </w:r>
      <w:r>
        <w:instrText xml:space="preserve"> HYPERLINK "consultantplus://offline/ref=B8C358CABE34CB16428F5AB6922F81A28CAF0B031C512096EC042FB4A0E37402F8F59686C6CBE1F58AEB238C1804B139BCDEA130D432kEx4E" </w:instrText>
      </w:r>
      <w:r>
        <w:fldChar w:fldCharType="separate"/>
      </w:r>
      <w:r>
        <w:rPr>
          <w:sz w:val="28"/>
          <w:szCs w:val="28"/>
        </w:rPr>
        <w:t>2</w:t>
      </w:r>
      <w:r>
        <w:rPr>
          <w:sz w:val="28"/>
          <w:szCs w:val="28"/>
        </w:rPr>
        <w:fldChar w:fldCharType="end"/>
      </w:r>
      <w:r>
        <w:rPr>
          <w:sz w:val="28"/>
          <w:szCs w:val="28"/>
        </w:rPr>
        <w:t xml:space="preserve">, </w:t>
      </w:r>
      <w:r>
        <w:fldChar w:fldCharType="begin"/>
      </w:r>
      <w:r>
        <w:instrText xml:space="preserve"> HYPERLINK "consultantplus://offline/ref=B8C358CABE34CB16428F5AB6922F81A28CAF0B031C512096EC042FB4A0E37402F8F59680CAC3E0F58AEB238C1804B139BCDEA130D432kEx4E" </w:instrText>
      </w:r>
      <w:r>
        <w:fldChar w:fldCharType="separate"/>
      </w:r>
      <w:r>
        <w:rPr>
          <w:sz w:val="28"/>
          <w:szCs w:val="28"/>
        </w:rPr>
        <w:t>абзацем третьим пункта 5 статьи 219</w:t>
      </w:r>
      <w:r>
        <w:rPr>
          <w:sz w:val="28"/>
          <w:szCs w:val="28"/>
        </w:rPr>
        <w:fldChar w:fldCharType="end"/>
      </w:r>
      <w:r>
        <w:rPr>
          <w:sz w:val="28"/>
          <w:szCs w:val="28"/>
        </w:rPr>
        <w:t xml:space="preserve"> и </w:t>
      </w:r>
      <w:r>
        <w:fldChar w:fldCharType="begin"/>
      </w:r>
      <w:r>
        <w:instrText xml:space="preserve"> HYPERLINK "consultantplus://offline/ref=B8C358CABE34CB16428F5AB6922F81A28CAF0B031C512096EC042FB4A0E37402F8F59685C3C1E0F8DDB133885151B427B5C1BE33CA32E5A2k6x5E" </w:instrText>
      </w:r>
      <w:r>
        <w:fldChar w:fldCharType="separate"/>
      </w:r>
      <w:r>
        <w:rPr>
          <w:sz w:val="28"/>
          <w:szCs w:val="28"/>
        </w:rPr>
        <w:t>частью второй статьи 219.2</w:t>
      </w:r>
      <w:r>
        <w:rPr>
          <w:sz w:val="28"/>
          <w:szCs w:val="28"/>
        </w:rPr>
        <w:fldChar w:fldCharType="end"/>
      </w:r>
      <w:r>
        <w:rPr>
          <w:sz w:val="28"/>
          <w:szCs w:val="28"/>
        </w:rPr>
        <w:t xml:space="preserve"> Бюджетного кодекса Российской Федерации приказываю:</w:t>
      </w:r>
    </w:p>
    <w:p>
      <w:pPr>
        <w:pStyle w:val="5"/>
        <w:spacing w:before="240"/>
        <w:ind w:firstLine="540"/>
        <w:jc w:val="both"/>
        <w:rPr>
          <w:sz w:val="28"/>
          <w:szCs w:val="28"/>
        </w:rPr>
      </w:pPr>
      <w:r>
        <w:rPr>
          <w:sz w:val="28"/>
          <w:szCs w:val="28"/>
        </w:rPr>
        <w:t xml:space="preserve">1. Утвердить прилагаемый </w:t>
      </w:r>
      <w:r>
        <w:fldChar w:fldCharType="begin"/>
      </w:r>
      <w:r>
        <w:instrText xml:space="preserve"> HYPERLINK \l "P35" </w:instrText>
      </w:r>
      <w:r>
        <w:fldChar w:fldCharType="separate"/>
      </w:r>
      <w:r>
        <w:rPr>
          <w:sz w:val="28"/>
          <w:szCs w:val="28"/>
        </w:rPr>
        <w:t>Порядок</w:t>
      </w:r>
      <w:r>
        <w:rPr>
          <w:sz w:val="28"/>
          <w:szCs w:val="28"/>
        </w:rPr>
        <w:fldChar w:fldCharType="end"/>
      </w:r>
      <w:r>
        <w:rPr>
          <w:sz w:val="28"/>
          <w:szCs w:val="28"/>
        </w:rPr>
        <w:t xml:space="preserve">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pPr>
        <w:pStyle w:val="5"/>
        <w:spacing w:before="240"/>
        <w:ind w:firstLine="540"/>
        <w:jc w:val="both"/>
        <w:rPr>
          <w:rFonts w:hint="default"/>
          <w:sz w:val="28"/>
          <w:szCs w:val="28"/>
          <w:lang w:val="ru-RU"/>
        </w:rPr>
      </w:pPr>
      <w:r>
        <w:rPr>
          <w:sz w:val="28"/>
          <w:szCs w:val="28"/>
        </w:rPr>
        <w:t>2. Признать утратившими силу:</w:t>
      </w:r>
      <w:r>
        <w:rPr>
          <w:rFonts w:hint="default"/>
          <w:sz w:val="28"/>
          <w:szCs w:val="28"/>
          <w:lang w:val="ru-RU"/>
        </w:rPr>
        <w:t xml:space="preserve"> постановление «Об утверждении порядка санкционирования оплаты денежных обязательств получателей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от 24.12.2021г. №97</w:t>
      </w:r>
    </w:p>
    <w:p>
      <w:pPr>
        <w:pStyle w:val="5"/>
        <w:numPr>
          <w:ilvl w:val="0"/>
          <w:numId w:val="1"/>
        </w:numPr>
        <w:spacing w:before="240"/>
        <w:ind w:firstLine="540"/>
        <w:jc w:val="both"/>
        <w:rPr>
          <w:sz w:val="28"/>
          <w:szCs w:val="28"/>
        </w:rPr>
      </w:pPr>
      <w:r>
        <w:rPr>
          <w:sz w:val="28"/>
          <w:szCs w:val="28"/>
        </w:rPr>
        <w:t>Настоящ</w:t>
      </w:r>
      <w:r>
        <w:rPr>
          <w:sz w:val="28"/>
          <w:szCs w:val="28"/>
          <w:lang w:val="ru-RU"/>
        </w:rPr>
        <w:t>ее</w:t>
      </w:r>
      <w:r>
        <w:rPr>
          <w:sz w:val="28"/>
          <w:szCs w:val="28"/>
        </w:rPr>
        <w:t xml:space="preserve"> </w:t>
      </w:r>
      <w:r>
        <w:rPr>
          <w:sz w:val="28"/>
          <w:szCs w:val="28"/>
          <w:lang w:val="ru-RU"/>
        </w:rPr>
        <w:t>постановление</w:t>
      </w:r>
      <w:r>
        <w:rPr>
          <w:sz w:val="28"/>
          <w:szCs w:val="28"/>
        </w:rPr>
        <w:t xml:space="preserve"> вступает в силу с 1 января 202</w:t>
      </w:r>
      <w:r>
        <w:rPr>
          <w:rFonts w:hint="default"/>
          <w:sz w:val="28"/>
          <w:szCs w:val="28"/>
          <w:lang w:val="ru-RU"/>
        </w:rPr>
        <w:t>4</w:t>
      </w:r>
      <w:r>
        <w:rPr>
          <w:sz w:val="28"/>
          <w:szCs w:val="28"/>
        </w:rPr>
        <w:t xml:space="preserve"> г.</w:t>
      </w:r>
    </w:p>
    <w:p>
      <w:pPr>
        <w:pStyle w:val="5"/>
        <w:numPr>
          <w:ilvl w:val="0"/>
          <w:numId w:val="0"/>
        </w:numPr>
        <w:spacing w:before="240"/>
        <w:jc w:val="both"/>
        <w:rPr>
          <w:sz w:val="28"/>
          <w:szCs w:val="28"/>
        </w:rPr>
      </w:pPr>
    </w:p>
    <w:p>
      <w:pPr>
        <w:pStyle w:val="5"/>
        <w:numPr>
          <w:ilvl w:val="0"/>
          <w:numId w:val="0"/>
        </w:numPr>
        <w:spacing w:before="240"/>
        <w:jc w:val="both"/>
        <w:rPr>
          <w:rFonts w:hint="default"/>
          <w:sz w:val="28"/>
          <w:szCs w:val="28"/>
          <w:lang w:val="ru-RU"/>
        </w:rPr>
      </w:pPr>
      <w:r>
        <w:rPr>
          <w:sz w:val="28"/>
          <w:szCs w:val="28"/>
          <w:lang w:val="ru-RU"/>
        </w:rPr>
        <w:t>Глава</w:t>
      </w:r>
      <w:r>
        <w:rPr>
          <w:rFonts w:hint="default"/>
          <w:sz w:val="28"/>
          <w:szCs w:val="28"/>
          <w:lang w:val="ru-RU"/>
        </w:rPr>
        <w:t xml:space="preserve"> Сысоевского</w:t>
      </w:r>
    </w:p>
    <w:p>
      <w:pPr>
        <w:pStyle w:val="5"/>
        <w:numPr>
          <w:ilvl w:val="0"/>
          <w:numId w:val="0"/>
        </w:numPr>
        <w:spacing w:before="240"/>
        <w:jc w:val="both"/>
        <w:rPr>
          <w:rFonts w:hint="default"/>
          <w:sz w:val="28"/>
          <w:szCs w:val="28"/>
          <w:lang w:val="ru-RU"/>
        </w:rPr>
      </w:pPr>
      <w:r>
        <w:rPr>
          <w:rFonts w:hint="default"/>
          <w:sz w:val="28"/>
          <w:szCs w:val="28"/>
          <w:lang w:val="ru-RU"/>
        </w:rPr>
        <w:t xml:space="preserve"> сельского поселения                                         Д.Г. Пискаревская</w:t>
      </w:r>
    </w:p>
    <w:p>
      <w:pPr>
        <w:pStyle w:val="5"/>
        <w:widowControl w:val="0"/>
        <w:numPr>
          <w:ilvl w:val="0"/>
          <w:numId w:val="0"/>
        </w:numPr>
        <w:autoSpaceDE w:val="0"/>
        <w:autoSpaceDN w:val="0"/>
        <w:spacing w:before="240" w:after="0" w:line="240" w:lineRule="auto"/>
        <w:jc w:val="both"/>
        <w:rPr>
          <w:sz w:val="28"/>
          <w:szCs w:val="28"/>
        </w:rPr>
      </w:pPr>
    </w:p>
    <w:p>
      <w:pPr>
        <w:pStyle w:val="5"/>
        <w:widowControl w:val="0"/>
        <w:numPr>
          <w:ilvl w:val="0"/>
          <w:numId w:val="0"/>
        </w:numPr>
        <w:autoSpaceDE w:val="0"/>
        <w:autoSpaceDN w:val="0"/>
        <w:spacing w:before="240" w:after="0" w:line="240" w:lineRule="auto"/>
        <w:jc w:val="both"/>
        <w:rPr>
          <w:sz w:val="28"/>
          <w:szCs w:val="28"/>
        </w:rPr>
      </w:pPr>
    </w:p>
    <w:p>
      <w:pPr>
        <w:pStyle w:val="5"/>
        <w:widowControl w:val="0"/>
        <w:numPr>
          <w:ilvl w:val="0"/>
          <w:numId w:val="0"/>
        </w:numPr>
        <w:autoSpaceDE w:val="0"/>
        <w:autoSpaceDN w:val="0"/>
        <w:spacing w:before="240" w:after="0" w:line="240" w:lineRule="auto"/>
        <w:jc w:val="both"/>
        <w:rPr>
          <w:sz w:val="28"/>
          <w:szCs w:val="28"/>
        </w:rPr>
      </w:pPr>
    </w:p>
    <w:p>
      <w:pPr>
        <w:pStyle w:val="5"/>
        <w:jc w:val="both"/>
        <w:rPr>
          <w:sz w:val="28"/>
          <w:szCs w:val="28"/>
        </w:rPr>
      </w:pPr>
    </w:p>
    <w:p>
      <w:pPr>
        <w:pStyle w:val="5"/>
        <w:jc w:val="right"/>
        <w:outlineLvl w:val="0"/>
        <w:rPr>
          <w:sz w:val="28"/>
          <w:szCs w:val="28"/>
        </w:rPr>
      </w:pPr>
      <w:r>
        <w:rPr>
          <w:sz w:val="28"/>
          <w:szCs w:val="28"/>
          <w:lang w:val="ru-RU"/>
        </w:rPr>
        <w:t>У</w:t>
      </w:r>
      <w:r>
        <w:rPr>
          <w:sz w:val="28"/>
          <w:szCs w:val="28"/>
        </w:rPr>
        <w:t>твержден</w:t>
      </w:r>
    </w:p>
    <w:p>
      <w:pPr>
        <w:pStyle w:val="5"/>
        <w:jc w:val="right"/>
        <w:rPr>
          <w:sz w:val="28"/>
          <w:szCs w:val="28"/>
          <w:lang w:val="ru-RU"/>
        </w:rPr>
      </w:pPr>
      <w:r>
        <w:rPr>
          <w:sz w:val="28"/>
          <w:szCs w:val="28"/>
          <w:lang w:val="ru-RU"/>
        </w:rPr>
        <w:t>Постановлением</w:t>
      </w:r>
    </w:p>
    <w:p>
      <w:pPr>
        <w:pStyle w:val="5"/>
        <w:jc w:val="right"/>
        <w:rPr>
          <w:rFonts w:hint="default"/>
          <w:sz w:val="28"/>
          <w:szCs w:val="28"/>
          <w:lang w:val="ru-RU"/>
        </w:rPr>
      </w:pPr>
      <w:r>
        <w:rPr>
          <w:sz w:val="28"/>
          <w:szCs w:val="28"/>
        </w:rPr>
        <w:t xml:space="preserve">от </w:t>
      </w:r>
      <w:r>
        <w:rPr>
          <w:rFonts w:hint="default"/>
          <w:sz w:val="28"/>
          <w:szCs w:val="28"/>
          <w:lang w:val="ru-RU"/>
        </w:rPr>
        <w:t>17.01.2024г</w:t>
      </w:r>
      <w:r>
        <w:rPr>
          <w:sz w:val="28"/>
          <w:szCs w:val="28"/>
        </w:rPr>
        <w:t>. №</w:t>
      </w:r>
      <w:r>
        <w:rPr>
          <w:rFonts w:hint="default"/>
          <w:sz w:val="28"/>
          <w:szCs w:val="28"/>
          <w:lang w:val="ru-RU"/>
        </w:rPr>
        <w:t>4</w:t>
      </w:r>
    </w:p>
    <w:p>
      <w:pPr>
        <w:pStyle w:val="5"/>
        <w:jc w:val="both"/>
        <w:rPr>
          <w:sz w:val="28"/>
          <w:szCs w:val="28"/>
        </w:rPr>
      </w:pPr>
    </w:p>
    <w:p>
      <w:pPr>
        <w:pStyle w:val="6"/>
        <w:jc w:val="center"/>
        <w:rPr>
          <w:sz w:val="28"/>
          <w:szCs w:val="28"/>
        </w:rPr>
      </w:pPr>
      <w:bookmarkStart w:id="0" w:name="P35"/>
      <w:bookmarkEnd w:id="0"/>
      <w:r>
        <w:rPr>
          <w:sz w:val="28"/>
          <w:szCs w:val="28"/>
        </w:rPr>
        <w:t>ПОРЯДОК</w:t>
      </w:r>
    </w:p>
    <w:p>
      <w:pPr>
        <w:pStyle w:val="6"/>
        <w:jc w:val="center"/>
        <w:rPr>
          <w:sz w:val="28"/>
          <w:szCs w:val="28"/>
        </w:rPr>
      </w:pPr>
      <w:r>
        <w:rPr>
          <w:sz w:val="28"/>
          <w:szCs w:val="28"/>
        </w:rPr>
        <w:t>САНКЦИОНИРОВАНИЯ ОПЛАТЫ ДЕНЕЖНЫХ ОБЯЗАТЕЛЬСТВ</w:t>
      </w:r>
    </w:p>
    <w:p>
      <w:pPr>
        <w:pStyle w:val="6"/>
        <w:jc w:val="center"/>
        <w:rPr>
          <w:sz w:val="28"/>
          <w:szCs w:val="28"/>
        </w:rPr>
      </w:pPr>
      <w:r>
        <w:rPr>
          <w:sz w:val="28"/>
          <w:szCs w:val="28"/>
        </w:rPr>
        <w:t>ПОЛУЧАТЕЛЕЙ СРЕДСТВ МЕСТНОГО БЮДЖЕТА И ОПЛАТЫ ДЕНЕЖНЫХ</w:t>
      </w:r>
    </w:p>
    <w:p>
      <w:pPr>
        <w:pStyle w:val="6"/>
        <w:jc w:val="center"/>
        <w:rPr>
          <w:sz w:val="28"/>
          <w:szCs w:val="28"/>
        </w:rPr>
      </w:pPr>
      <w:r>
        <w:rPr>
          <w:sz w:val="28"/>
          <w:szCs w:val="28"/>
        </w:rPr>
        <w:t>ОБЯЗАТЕЛЬСТВ, ПОДЛЕЖАЩИХ ИСПОЛНЕНИЮ ЗА СЧЕТ БЮДЖЕТНЫХ</w:t>
      </w:r>
    </w:p>
    <w:p>
      <w:pPr>
        <w:pStyle w:val="6"/>
        <w:jc w:val="center"/>
        <w:rPr>
          <w:sz w:val="28"/>
          <w:szCs w:val="28"/>
        </w:rPr>
      </w:pPr>
      <w:r>
        <w:rPr>
          <w:sz w:val="28"/>
          <w:szCs w:val="28"/>
        </w:rPr>
        <w:t>АССИГНОВАНИЙ ПО ИСТОЧНИКАМ ФИНАНСИРОВАНИЯ ДЕФИЦИТА</w:t>
      </w:r>
    </w:p>
    <w:p>
      <w:pPr>
        <w:pStyle w:val="6"/>
        <w:jc w:val="center"/>
        <w:rPr>
          <w:sz w:val="28"/>
          <w:szCs w:val="28"/>
        </w:rPr>
      </w:pPr>
      <w:r>
        <w:rPr>
          <w:sz w:val="28"/>
          <w:szCs w:val="28"/>
        </w:rPr>
        <w:t>МЕСТНОГО БЮДЖЕТА</w:t>
      </w:r>
    </w:p>
    <w:p>
      <w:pPr>
        <w:pStyle w:val="5"/>
        <w:jc w:val="both"/>
        <w:rPr>
          <w:sz w:val="28"/>
          <w:szCs w:val="28"/>
        </w:rPr>
      </w:pPr>
    </w:p>
    <w:p>
      <w:pPr>
        <w:autoSpaceDE w:val="0"/>
        <w:autoSpaceDN w:val="0"/>
        <w:adjustRightInd w:val="0"/>
        <w:spacing w:after="0" w:line="240" w:lineRule="auto"/>
        <w:jc w:val="both"/>
        <w:rPr>
          <w:rFonts w:cs="Times New Roman"/>
          <w:sz w:val="28"/>
          <w:szCs w:val="28"/>
        </w:rPr>
      </w:pPr>
      <w:r>
        <w:rPr>
          <w:rFonts w:cs="Times New Roman"/>
          <w:sz w:val="28"/>
          <w:szCs w:val="28"/>
        </w:rPr>
        <w:t xml:space="preserve">1. Настоящий Порядок устанавливает порядок санкционирования оплаты за счет средств </w:t>
      </w:r>
      <w:r>
        <w:rPr>
          <w:sz w:val="28"/>
          <w:szCs w:val="28"/>
        </w:rPr>
        <w:t>местного</w:t>
      </w:r>
      <w:r>
        <w:rPr>
          <w:rFonts w:cs="Times New Roman"/>
          <w:sz w:val="28"/>
          <w:szCs w:val="28"/>
        </w:rPr>
        <w:t xml:space="preserve"> бюджета денежных обязательств получателей средств </w:t>
      </w:r>
      <w:r>
        <w:rPr>
          <w:sz w:val="28"/>
          <w:szCs w:val="28"/>
        </w:rPr>
        <w:t>местного</w:t>
      </w:r>
      <w:r>
        <w:rPr>
          <w:rFonts w:cs="Times New Roman"/>
          <w:sz w:val="28"/>
          <w:szCs w:val="28"/>
        </w:rPr>
        <w:t xml:space="preserve"> бюджета и оплаты денежных обязательств, подлежащих исполнению за счет бюджетных ассигнований по источникам финансирования дефицита </w:t>
      </w:r>
      <w:r>
        <w:rPr>
          <w:sz w:val="28"/>
          <w:szCs w:val="28"/>
        </w:rPr>
        <w:t>местного</w:t>
      </w:r>
      <w:r>
        <w:rPr>
          <w:rFonts w:cs="Times New Roman"/>
          <w:sz w:val="28"/>
          <w:szCs w:val="28"/>
        </w:rPr>
        <w:t xml:space="preserve"> бюджета, источником исполнения которых являются собственные доходы и источники финансирования дефицита местного бюджета.</w:t>
      </w:r>
    </w:p>
    <w:p>
      <w:pPr>
        <w:pStyle w:val="5"/>
        <w:ind w:firstLine="540"/>
        <w:jc w:val="both"/>
        <w:rPr>
          <w:b/>
          <w:sz w:val="28"/>
          <w:szCs w:val="28"/>
        </w:rPr>
      </w:pPr>
    </w:p>
    <w:p>
      <w:pPr>
        <w:pStyle w:val="5"/>
        <w:spacing w:before="240"/>
        <w:ind w:firstLine="540"/>
        <w:jc w:val="both"/>
        <w:rPr>
          <w:sz w:val="28"/>
          <w:szCs w:val="28"/>
        </w:rPr>
      </w:pPr>
      <w:r>
        <w:rPr>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pPr>
        <w:pStyle w:val="5"/>
        <w:jc w:val="both"/>
        <w:rPr>
          <w:sz w:val="28"/>
          <w:szCs w:val="28"/>
        </w:rPr>
      </w:pPr>
    </w:p>
    <w:p>
      <w:pPr>
        <w:pStyle w:val="5"/>
        <w:ind w:firstLine="540"/>
        <w:jc w:val="both"/>
        <w:rPr>
          <w:sz w:val="28"/>
          <w:szCs w:val="28"/>
        </w:rPr>
      </w:pPr>
      <w:bookmarkStart w:id="1" w:name="P47"/>
      <w:bookmarkEnd w:id="1"/>
      <w:r>
        <w:rPr>
          <w:sz w:val="28"/>
          <w:szCs w:val="28"/>
        </w:rPr>
        <w:t xml:space="preserve">3. Орган Федерального казначейства проверяет Распоряжение на наличие в нем реквизитов и показателей, предусмотренных </w:t>
      </w:r>
      <w:r>
        <w:fldChar w:fldCharType="begin"/>
      </w:r>
      <w:r>
        <w:instrText xml:space="preserve"> HYPERLINK \l "P50" </w:instrText>
      </w:r>
      <w:r>
        <w:fldChar w:fldCharType="separate"/>
      </w:r>
      <w:r>
        <w:rPr>
          <w:sz w:val="28"/>
          <w:szCs w:val="28"/>
        </w:rPr>
        <w:t>пунктом 4</w:t>
      </w:r>
      <w:r>
        <w:rPr>
          <w:sz w:val="28"/>
          <w:szCs w:val="28"/>
        </w:rPr>
        <w:fldChar w:fldCharType="end"/>
      </w:r>
      <w:r>
        <w:rPr>
          <w:sz w:val="28"/>
          <w:szCs w:val="28"/>
        </w:rPr>
        <w:t xml:space="preserve"> настоящего Порядка (с учетом положений </w:t>
      </w:r>
      <w:r>
        <w:fldChar w:fldCharType="begin"/>
      </w:r>
      <w:r>
        <w:instrText xml:space="preserve"> HYPERLINK \l "P82" </w:instrText>
      </w:r>
      <w:r>
        <w:fldChar w:fldCharType="separate"/>
      </w:r>
      <w:r>
        <w:rPr>
          <w:sz w:val="28"/>
          <w:szCs w:val="28"/>
        </w:rPr>
        <w:t>пункта 5</w:t>
      </w:r>
      <w:r>
        <w:rPr>
          <w:sz w:val="28"/>
          <w:szCs w:val="28"/>
        </w:rPr>
        <w:fldChar w:fldCharType="end"/>
      </w:r>
      <w:r>
        <w:rPr>
          <w:sz w:val="28"/>
          <w:szCs w:val="28"/>
        </w:rPr>
        <w:t xml:space="preserve"> настоящего Порядка), на соответствие требованиям, установленным </w:t>
      </w:r>
      <w:r>
        <w:fldChar w:fldCharType="begin"/>
      </w:r>
      <w:r>
        <w:instrText xml:space="preserve"> HYPERLINK \l "P87" </w:instrText>
      </w:r>
      <w:r>
        <w:fldChar w:fldCharType="separate"/>
      </w:r>
      <w:r>
        <w:rPr>
          <w:sz w:val="28"/>
          <w:szCs w:val="28"/>
        </w:rPr>
        <w:t>пунктами 6</w:t>
      </w:r>
      <w:r>
        <w:rPr>
          <w:sz w:val="28"/>
          <w:szCs w:val="28"/>
        </w:rPr>
        <w:fldChar w:fldCharType="end"/>
      </w:r>
      <w:r>
        <w:rPr>
          <w:sz w:val="28"/>
          <w:szCs w:val="28"/>
        </w:rPr>
        <w:t xml:space="preserve">, </w:t>
      </w:r>
      <w:r>
        <w:fldChar w:fldCharType="begin"/>
      </w:r>
      <w:r>
        <w:instrText xml:space="preserve"> HYPERLINK \l "P115"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\l "P119" </w:instrText>
      </w:r>
      <w:r>
        <w:fldChar w:fldCharType="separate"/>
      </w:r>
      <w:r>
        <w:rPr>
          <w:sz w:val="28"/>
          <w:szCs w:val="28"/>
        </w:rPr>
        <w:t>10</w:t>
      </w:r>
      <w:r>
        <w:rPr>
          <w:sz w:val="28"/>
          <w:szCs w:val="28"/>
        </w:rPr>
        <w:fldChar w:fldCharType="end"/>
      </w:r>
      <w:r>
        <w:rPr>
          <w:sz w:val="28"/>
          <w:szCs w:val="28"/>
        </w:rPr>
        <w:t xml:space="preserve"> и </w:t>
      </w:r>
      <w:r>
        <w:fldChar w:fldCharType="begin"/>
      </w:r>
      <w:r>
        <w:instrText xml:space="preserve"> HYPERLINK \l "P123" </w:instrText>
      </w:r>
      <w:r>
        <w:fldChar w:fldCharType="separate"/>
      </w:r>
      <w:r>
        <w:rPr>
          <w:sz w:val="28"/>
          <w:szCs w:val="28"/>
        </w:rPr>
        <w:t>11</w:t>
      </w:r>
      <w:r>
        <w:rPr>
          <w:sz w:val="28"/>
          <w:szCs w:val="28"/>
        </w:rPr>
        <w:fldChar w:fldCharType="end"/>
      </w:r>
      <w:r>
        <w:rPr>
          <w:sz w:val="28"/>
          <w:szCs w:val="28"/>
        </w:rPr>
        <w:t xml:space="preserve"> настоящего Порядка, а также наличие документов, предусмотренных </w:t>
      </w:r>
      <w:r>
        <w:fldChar w:fldCharType="begin"/>
      </w:r>
      <w:r>
        <w:instrText xml:space="preserve"> HYPERLINK \l "P115" </w:instrText>
      </w:r>
      <w:r>
        <w:fldChar w:fldCharType="separate"/>
      </w:r>
      <w:r>
        <w:rPr>
          <w:sz w:val="28"/>
          <w:szCs w:val="28"/>
        </w:rPr>
        <w:t>пунктами 7</w:t>
      </w:r>
      <w:r>
        <w:rPr>
          <w:sz w:val="28"/>
          <w:szCs w:val="28"/>
        </w:rPr>
        <w:fldChar w:fldCharType="end"/>
      </w:r>
      <w:r>
        <w:rPr>
          <w:sz w:val="28"/>
          <w:szCs w:val="28"/>
        </w:rPr>
        <w:t xml:space="preserve"> - </w:t>
      </w:r>
      <w:r>
        <w:fldChar w:fldCharType="begin"/>
      </w:r>
      <w:r>
        <w:instrText xml:space="preserve"> HYPERLINK \l "P118" </w:instrText>
      </w:r>
      <w:r>
        <w:fldChar w:fldCharType="separate"/>
      </w:r>
      <w:r>
        <w:rPr>
          <w:sz w:val="28"/>
          <w:szCs w:val="28"/>
        </w:rPr>
        <w:t>9</w:t>
      </w:r>
      <w:r>
        <w:rPr>
          <w:sz w:val="28"/>
          <w:szCs w:val="28"/>
        </w:rPr>
        <w:fldChar w:fldCharType="end"/>
      </w:r>
      <w:r>
        <w:rPr>
          <w:sz w:val="28"/>
          <w:szCs w:val="28"/>
        </w:rPr>
        <w:t xml:space="preserve"> настоящего Порядка:</w:t>
      </w:r>
    </w:p>
    <w:p>
      <w:pPr>
        <w:pStyle w:val="5"/>
        <w:spacing w:before="240"/>
        <w:ind w:firstLine="540"/>
        <w:jc w:val="both"/>
        <w:rPr>
          <w:sz w:val="28"/>
          <w:szCs w:val="28"/>
        </w:rPr>
      </w:pPr>
      <w:r>
        <w:rPr>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pPr>
        <w:pStyle w:val="5"/>
        <w:spacing w:before="240"/>
        <w:ind w:firstLine="540"/>
        <w:jc w:val="both"/>
        <w:rPr>
          <w:sz w:val="28"/>
          <w:szCs w:val="28"/>
        </w:rPr>
      </w:pPr>
      <w:bookmarkStart w:id="2" w:name="P50"/>
      <w:bookmarkEnd w:id="2"/>
      <w:r>
        <w:rPr>
          <w:sz w:val="28"/>
          <w:szCs w:val="28"/>
        </w:rPr>
        <w:t>4. Распоряжение проверяется на наличие в нем следующих реквизитов и показателей:</w:t>
      </w:r>
    </w:p>
    <w:p>
      <w:pPr>
        <w:pStyle w:val="5"/>
        <w:spacing w:before="240"/>
        <w:ind w:firstLine="540"/>
        <w:jc w:val="both"/>
        <w:rPr>
          <w:sz w:val="28"/>
          <w:szCs w:val="28"/>
        </w:rPr>
      </w:pPr>
      <w:r>
        <w:rPr>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w:t>
      </w:r>
    </w:p>
    <w:p>
      <w:pPr>
        <w:pStyle w:val="5"/>
        <w:ind w:firstLine="540"/>
        <w:jc w:val="both"/>
        <w:rPr>
          <w:sz w:val="28"/>
          <w:szCs w:val="28"/>
        </w:rPr>
      </w:pPr>
    </w:p>
    <w:p>
      <w:pPr>
        <w:pStyle w:val="5"/>
        <w:ind w:firstLine="540"/>
        <w:jc w:val="both"/>
        <w:rPr>
          <w:sz w:val="28"/>
          <w:szCs w:val="28"/>
        </w:rPr>
      </w:pPr>
      <w:r>
        <w:rPr>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pPr>
        <w:pStyle w:val="5"/>
        <w:jc w:val="both"/>
        <w:rPr>
          <w:sz w:val="28"/>
          <w:szCs w:val="28"/>
        </w:rPr>
      </w:pPr>
    </w:p>
    <w:p>
      <w:pPr>
        <w:pStyle w:val="5"/>
        <w:ind w:firstLine="540"/>
        <w:jc w:val="both"/>
        <w:rPr>
          <w:sz w:val="28"/>
          <w:szCs w:val="28"/>
        </w:rPr>
      </w:pPr>
      <w:r>
        <w:rPr>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а также текстового назначения платежа;</w:t>
      </w:r>
    </w:p>
    <w:p>
      <w:pPr>
        <w:pStyle w:val="5"/>
        <w:jc w:val="both"/>
        <w:rPr>
          <w:sz w:val="28"/>
          <w:szCs w:val="28"/>
        </w:rPr>
      </w:pPr>
    </w:p>
    <w:p>
      <w:pPr>
        <w:pStyle w:val="5"/>
        <w:ind w:firstLine="540"/>
        <w:jc w:val="both"/>
        <w:rPr>
          <w:sz w:val="28"/>
          <w:szCs w:val="28"/>
        </w:rPr>
      </w:pPr>
      <w:r>
        <w:rPr>
          <w:sz w:val="28"/>
          <w:szCs w:val="28"/>
        </w:rPr>
        <w:t xml:space="preserve">4) суммы перечисления и кода валюты в соответствии с Общероссийским </w:t>
      </w:r>
      <w:r>
        <w:fldChar w:fldCharType="begin"/>
      </w:r>
      <w:r>
        <w:instrText xml:space="preserve"> HYPERLINK "consultantplus://offline/ref=B8C358CABE34CB16428F5AB6922F81A28CA30A011D532096EC042FB4A0E37402EAF5CE89C3CAFDFFDFA465D917k0x5E" </w:instrText>
      </w:r>
      <w:r>
        <w:fldChar w:fldCharType="separate"/>
      </w:r>
      <w:r>
        <w:rPr>
          <w:sz w:val="28"/>
          <w:szCs w:val="28"/>
        </w:rPr>
        <w:t>классификатором</w:t>
      </w:r>
      <w:r>
        <w:rPr>
          <w:sz w:val="28"/>
          <w:szCs w:val="28"/>
        </w:rPr>
        <w:fldChar w:fldCharType="end"/>
      </w:r>
      <w:r>
        <w:rPr>
          <w:sz w:val="28"/>
          <w:szCs w:val="28"/>
        </w:rPr>
        <w:t xml:space="preserve"> валют, в которой он должен быть произведен;</w:t>
      </w:r>
    </w:p>
    <w:p>
      <w:pPr>
        <w:pStyle w:val="5"/>
        <w:spacing w:before="240"/>
        <w:ind w:firstLine="540"/>
        <w:jc w:val="both"/>
        <w:rPr>
          <w:sz w:val="28"/>
          <w:szCs w:val="28"/>
        </w:rPr>
      </w:pPr>
      <w:r>
        <w:rPr>
          <w:sz w:val="28"/>
          <w:szCs w:val="28"/>
        </w:rPr>
        <w:t>5) суммы перечисления в валюте Российской Федерации, в рублевом эквиваленте, исчисленном на дату оформления Распоряжения;</w:t>
      </w:r>
    </w:p>
    <w:p>
      <w:pPr>
        <w:pStyle w:val="5"/>
        <w:spacing w:before="240"/>
        <w:ind w:firstLine="540"/>
        <w:jc w:val="both"/>
        <w:rPr>
          <w:sz w:val="28"/>
          <w:szCs w:val="28"/>
        </w:rPr>
      </w:pPr>
      <w:r>
        <w:rPr>
          <w:sz w:val="28"/>
          <w:szCs w:val="28"/>
        </w:rPr>
        <w:t>6) вида средств (средства местного бюджета);</w:t>
      </w:r>
    </w:p>
    <w:p>
      <w:pPr>
        <w:pStyle w:val="5"/>
        <w:spacing w:before="240"/>
        <w:ind w:firstLine="540"/>
        <w:jc w:val="both"/>
        <w:rPr>
          <w:sz w:val="28"/>
          <w:szCs w:val="28"/>
        </w:rPr>
      </w:pPr>
      <w:r>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pStyle w:val="5"/>
        <w:spacing w:before="240"/>
        <w:ind w:firstLine="540"/>
        <w:jc w:val="both"/>
        <w:rPr>
          <w:sz w:val="28"/>
          <w:szCs w:val="28"/>
        </w:rPr>
      </w:pPr>
      <w:r>
        <w:rPr>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pPr>
        <w:pStyle w:val="5"/>
        <w:spacing w:before="240"/>
        <w:ind w:firstLine="540"/>
        <w:jc w:val="both"/>
        <w:rPr>
          <w:sz w:val="28"/>
          <w:szCs w:val="28"/>
        </w:rPr>
      </w:pPr>
      <w:r>
        <w:rPr>
          <w:sz w:val="28"/>
          <w:szCs w:val="28"/>
        </w:rPr>
        <w:t>9)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pPr>
        <w:pStyle w:val="5"/>
        <w:jc w:val="both"/>
        <w:rPr>
          <w:sz w:val="28"/>
          <w:szCs w:val="28"/>
        </w:rPr>
      </w:pPr>
    </w:p>
    <w:p>
      <w:pPr>
        <w:pStyle w:val="5"/>
        <w:ind w:firstLine="540"/>
        <w:jc w:val="both"/>
        <w:rPr>
          <w:sz w:val="28"/>
          <w:szCs w:val="28"/>
        </w:rPr>
      </w:pPr>
      <w:bookmarkStart w:id="3" w:name="P76"/>
      <w:bookmarkEnd w:id="3"/>
      <w:r>
        <w:rPr>
          <w:sz w:val="28"/>
          <w:szCs w:val="28"/>
        </w:rPr>
        <w:t xml:space="preserve">10)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r>
        <w:rPr>
          <w:sz w:val="28"/>
          <w:szCs w:val="28"/>
          <w:lang w:val="ru-RU"/>
        </w:rPr>
        <w:t>постановлением</w:t>
      </w:r>
      <w:r>
        <w:rPr>
          <w:sz w:val="28"/>
          <w:szCs w:val="28"/>
        </w:rPr>
        <w:t xml:space="preserve"> </w:t>
      </w:r>
      <w:r>
        <w:rPr>
          <w:sz w:val="28"/>
          <w:szCs w:val="28"/>
          <w:lang w:val="ru-RU"/>
        </w:rPr>
        <w:t>№</w:t>
      </w:r>
      <w:r>
        <w:rPr>
          <w:rFonts w:hint="default"/>
          <w:sz w:val="28"/>
          <w:szCs w:val="28"/>
          <w:lang w:val="ru-RU"/>
        </w:rPr>
        <w:t xml:space="preserve">1 от 11.01.2024г. </w:t>
      </w:r>
      <w:r>
        <w:rPr>
          <w:sz w:val="28"/>
          <w:szCs w:val="28"/>
        </w:rPr>
        <w:t>(далее - порядок учета обязательств);</w:t>
      </w:r>
    </w:p>
    <w:p>
      <w:pPr>
        <w:pStyle w:val="5"/>
        <w:jc w:val="both"/>
        <w:rPr>
          <w:sz w:val="28"/>
          <w:szCs w:val="28"/>
        </w:rPr>
      </w:pPr>
    </w:p>
    <w:p>
      <w:pPr>
        <w:pStyle w:val="5"/>
        <w:ind w:firstLine="540"/>
        <w:jc w:val="both"/>
        <w:rPr>
          <w:sz w:val="28"/>
          <w:szCs w:val="28"/>
        </w:rPr>
      </w:pPr>
      <w:r>
        <w:rPr>
          <w:sz w:val="28"/>
          <w:szCs w:val="28"/>
        </w:rPr>
        <w:t>11)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5"/>
        <w:spacing w:before="240"/>
        <w:ind w:firstLine="540"/>
        <w:jc w:val="both"/>
        <w:rPr>
          <w:sz w:val="28"/>
          <w:szCs w:val="28"/>
        </w:rPr>
      </w:pPr>
      <w:bookmarkStart w:id="4" w:name="P81"/>
      <w:bookmarkEnd w:id="4"/>
      <w:r>
        <w:rPr>
          <w:sz w:val="28"/>
          <w:szCs w:val="28"/>
        </w:rPr>
        <w:t>12)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5"/>
        <w:spacing w:before="240"/>
        <w:ind w:firstLine="540"/>
        <w:jc w:val="both"/>
        <w:rPr>
          <w:sz w:val="28"/>
          <w:szCs w:val="28"/>
        </w:rPr>
      </w:pPr>
      <w:bookmarkStart w:id="5" w:name="P82"/>
      <w:bookmarkEnd w:id="5"/>
      <w:r>
        <w:rPr>
          <w:sz w:val="28"/>
          <w:szCs w:val="28"/>
        </w:rPr>
        <w:t xml:space="preserve">5. Требования </w:t>
      </w:r>
      <w:r>
        <w:fldChar w:fldCharType="begin"/>
      </w:r>
      <w:r>
        <w:instrText xml:space="preserve"> HYPERLINK \l "P76" </w:instrText>
      </w:r>
      <w:r>
        <w:fldChar w:fldCharType="separate"/>
      </w:r>
      <w:r>
        <w:rPr>
          <w:sz w:val="28"/>
          <w:szCs w:val="28"/>
        </w:rPr>
        <w:t>10</w:t>
      </w:r>
      <w:r>
        <w:rPr>
          <w:sz w:val="28"/>
          <w:szCs w:val="28"/>
        </w:rPr>
        <w:fldChar w:fldCharType="end"/>
      </w:r>
      <w:r>
        <w:rPr>
          <w:sz w:val="28"/>
          <w:szCs w:val="28"/>
        </w:rPr>
        <w:t xml:space="preserve"> - </w:t>
      </w:r>
      <w:r>
        <w:fldChar w:fldCharType="begin"/>
      </w:r>
      <w:r>
        <w:instrText xml:space="preserve"> HYPERLINK \l "P81" </w:instrText>
      </w:r>
      <w:r>
        <w:fldChar w:fldCharType="separate"/>
      </w:r>
      <w:r>
        <w:rPr>
          <w:sz w:val="28"/>
          <w:szCs w:val="28"/>
        </w:rPr>
        <w:t>12 пункта 4</w:t>
      </w:r>
      <w:r>
        <w:rPr>
          <w:sz w:val="28"/>
          <w:szCs w:val="28"/>
        </w:rPr>
        <w:fldChar w:fldCharType="end"/>
      </w:r>
      <w:r>
        <w:rPr>
          <w:sz w:val="28"/>
          <w:szCs w:val="28"/>
        </w:rPr>
        <w:t xml:space="preserve"> настоящего Порядка не применяются в отношении:</w:t>
      </w:r>
    </w:p>
    <w:p>
      <w:pPr>
        <w:pStyle w:val="5"/>
        <w:spacing w:before="240"/>
        <w:ind w:firstLine="540"/>
        <w:jc w:val="both"/>
        <w:rPr>
          <w:sz w:val="28"/>
          <w:szCs w:val="28"/>
        </w:rPr>
      </w:pPr>
      <w:r>
        <w:rPr>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pPr>
        <w:pStyle w:val="5"/>
        <w:spacing w:before="240"/>
        <w:ind w:firstLine="540"/>
        <w:jc w:val="both"/>
        <w:rPr>
          <w:sz w:val="28"/>
          <w:szCs w:val="28"/>
        </w:rPr>
      </w:pPr>
      <w:r>
        <w:rPr>
          <w:sz w:val="28"/>
          <w:szCs w:val="28"/>
        </w:rPr>
        <w:t xml:space="preserve">Требования </w:t>
      </w:r>
      <w:r>
        <w:fldChar w:fldCharType="begin"/>
      </w:r>
      <w:r>
        <w:instrText xml:space="preserve"> HYPERLINK \l "P76" </w:instrText>
      </w:r>
      <w:r>
        <w:fldChar w:fldCharType="separate"/>
      </w:r>
      <w:r>
        <w:rPr>
          <w:sz w:val="28"/>
          <w:szCs w:val="28"/>
        </w:rPr>
        <w:t>подпункта 10 пункта 4</w:t>
      </w:r>
      <w:r>
        <w:rPr>
          <w:sz w:val="28"/>
          <w:szCs w:val="28"/>
        </w:rPr>
        <w:fldChar w:fldCharType="end"/>
      </w:r>
      <w:r>
        <w:rPr>
          <w:sz w:val="28"/>
          <w:szCs w:val="28"/>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государственных нужд (далее - договор (муниципальный контракт) законодательством Российской Федерации не предусмотрено.</w:t>
      </w:r>
    </w:p>
    <w:p>
      <w:pPr>
        <w:pStyle w:val="5"/>
        <w:spacing w:before="240"/>
        <w:ind w:firstLine="540"/>
        <w:jc w:val="both"/>
        <w:rPr>
          <w:sz w:val="28"/>
          <w:szCs w:val="28"/>
        </w:rPr>
      </w:pPr>
      <w:r>
        <w:rPr>
          <w:sz w:val="28"/>
          <w:szCs w:val="2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pPr>
        <w:pStyle w:val="5"/>
        <w:spacing w:before="240"/>
        <w:ind w:firstLine="540"/>
        <w:jc w:val="both"/>
        <w:rPr>
          <w:sz w:val="28"/>
          <w:szCs w:val="28"/>
        </w:rPr>
      </w:pPr>
      <w:bookmarkStart w:id="6" w:name="P87"/>
      <w:bookmarkEnd w:id="6"/>
      <w:r>
        <w:rPr>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pPr>
        <w:pStyle w:val="5"/>
        <w:spacing w:before="240"/>
        <w:ind w:firstLine="540"/>
        <w:jc w:val="both"/>
        <w:rPr>
          <w:sz w:val="28"/>
          <w:szCs w:val="28"/>
        </w:rPr>
      </w:pPr>
      <w:bookmarkStart w:id="7" w:name="P88"/>
      <w:bookmarkEnd w:id="7"/>
      <w:r>
        <w:rPr>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5"/>
        <w:spacing w:before="240"/>
        <w:ind w:firstLine="540"/>
        <w:jc w:val="both"/>
        <w:rPr>
          <w:sz w:val="28"/>
          <w:szCs w:val="28"/>
        </w:rPr>
      </w:pPr>
      <w:r>
        <w:rPr>
          <w:sz w:val="28"/>
          <w:szCs w:val="28"/>
        </w:rPr>
        <w:t>2) соответствие содержания операции, исходя из денежного обязательства, содержанию текста назначения платежа, указанному в Распоряжении;</w:t>
      </w:r>
    </w:p>
    <w:p>
      <w:pPr>
        <w:pStyle w:val="5"/>
        <w:spacing w:before="240"/>
        <w:ind w:firstLine="540"/>
        <w:jc w:val="both"/>
        <w:rPr>
          <w:sz w:val="28"/>
          <w:szCs w:val="28"/>
        </w:rPr>
      </w:pPr>
      <w:r>
        <w:rPr>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pPr>
        <w:pStyle w:val="5"/>
        <w:jc w:val="both"/>
        <w:rPr>
          <w:sz w:val="28"/>
          <w:szCs w:val="28"/>
        </w:rPr>
      </w:pPr>
    </w:p>
    <w:p>
      <w:pPr>
        <w:pStyle w:val="5"/>
        <w:ind w:firstLine="540"/>
        <w:jc w:val="both"/>
        <w:rPr>
          <w:sz w:val="28"/>
          <w:szCs w:val="28"/>
        </w:rPr>
      </w:pPr>
      <w:r>
        <w:rPr>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pPr>
        <w:pStyle w:val="5"/>
        <w:spacing w:before="240"/>
        <w:ind w:firstLine="540"/>
        <w:jc w:val="both"/>
        <w:rPr>
          <w:sz w:val="28"/>
          <w:szCs w:val="28"/>
        </w:rPr>
      </w:pPr>
      <w:r>
        <w:rPr>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5"/>
        <w:spacing w:before="240"/>
        <w:ind w:firstLine="540"/>
        <w:jc w:val="both"/>
        <w:rPr>
          <w:sz w:val="28"/>
          <w:szCs w:val="28"/>
        </w:rPr>
      </w:pPr>
      <w:r>
        <w:rPr>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pPr>
        <w:pStyle w:val="5"/>
        <w:spacing w:before="240"/>
        <w:ind w:firstLine="540"/>
        <w:jc w:val="both"/>
        <w:rPr>
          <w:sz w:val="28"/>
          <w:szCs w:val="28"/>
        </w:rPr>
      </w:pPr>
      <w:r>
        <w:rPr>
          <w:sz w:val="28"/>
          <w:szCs w:val="28"/>
        </w:rPr>
        <w:t>7) идентичность кода участника бюджетного процесса по Сводному реестру по денежному обязательству и платежу;</w:t>
      </w:r>
    </w:p>
    <w:p>
      <w:pPr>
        <w:pStyle w:val="5"/>
        <w:spacing w:before="240"/>
        <w:ind w:firstLine="540"/>
        <w:jc w:val="both"/>
        <w:rPr>
          <w:sz w:val="28"/>
          <w:szCs w:val="28"/>
        </w:rPr>
      </w:pPr>
      <w:r>
        <w:rPr>
          <w:sz w:val="28"/>
          <w:szCs w:val="28"/>
        </w:rPr>
        <w:t>8) идентичность кода (кодов) классификации расходов местного бюджета по денежному обязательству и платежу;</w:t>
      </w:r>
    </w:p>
    <w:p>
      <w:pPr>
        <w:pStyle w:val="5"/>
        <w:spacing w:before="240"/>
        <w:ind w:firstLine="540"/>
        <w:jc w:val="both"/>
        <w:rPr>
          <w:sz w:val="28"/>
          <w:szCs w:val="28"/>
        </w:rPr>
      </w:pPr>
      <w:r>
        <w:rPr>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pPr>
        <w:pStyle w:val="5"/>
        <w:spacing w:before="240"/>
        <w:ind w:firstLine="540"/>
        <w:jc w:val="both"/>
        <w:rPr>
          <w:sz w:val="28"/>
          <w:szCs w:val="28"/>
        </w:rPr>
      </w:pPr>
      <w:r>
        <w:rPr>
          <w:sz w:val="28"/>
          <w:szCs w:val="28"/>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5"/>
        <w:spacing w:before="240"/>
        <w:ind w:firstLine="540"/>
        <w:jc w:val="both"/>
        <w:rPr>
          <w:sz w:val="28"/>
          <w:szCs w:val="28"/>
        </w:rPr>
      </w:pPr>
      <w:r>
        <w:rPr>
          <w:sz w:val="28"/>
          <w:szCs w:val="28"/>
        </w:rPr>
        <w:t>11) соответствие кода классификации расходов местного бюджета по денежному обязательству и платежу;</w:t>
      </w:r>
    </w:p>
    <w:p>
      <w:pPr>
        <w:pStyle w:val="5"/>
        <w:spacing w:before="240"/>
        <w:ind w:firstLine="540"/>
        <w:jc w:val="both"/>
        <w:rPr>
          <w:sz w:val="28"/>
          <w:szCs w:val="28"/>
        </w:rPr>
      </w:pPr>
      <w:r>
        <w:rPr>
          <w:sz w:val="28"/>
          <w:szCs w:val="28"/>
        </w:rPr>
        <w:t>12) 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pPr>
        <w:pStyle w:val="5"/>
        <w:spacing w:before="240"/>
        <w:ind w:firstLine="540"/>
        <w:jc w:val="both"/>
        <w:rPr>
          <w:sz w:val="28"/>
          <w:szCs w:val="28"/>
        </w:rPr>
      </w:pPr>
      <w:bookmarkStart w:id="8" w:name="P103"/>
      <w:bookmarkEnd w:id="8"/>
      <w:r>
        <w:rPr>
          <w:sz w:val="28"/>
          <w:szCs w:val="28"/>
        </w:rPr>
        <w:t>13)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(государственному контракту), подлежащему включению в реестр контрактов или реестр контрактов, составляющих государственную тайну, указанных в Распоряжении.</w:t>
      </w:r>
    </w:p>
    <w:p>
      <w:pPr>
        <w:pStyle w:val="5"/>
        <w:jc w:val="both"/>
        <w:rPr>
          <w:sz w:val="28"/>
          <w:szCs w:val="28"/>
        </w:rPr>
      </w:pPr>
    </w:p>
    <w:p>
      <w:pPr>
        <w:pStyle w:val="5"/>
        <w:spacing w:before="240"/>
        <w:ind w:firstLine="540"/>
        <w:jc w:val="both"/>
        <w:rPr>
          <w:sz w:val="28"/>
          <w:szCs w:val="28"/>
        </w:rPr>
      </w:pPr>
      <w:bookmarkStart w:id="9" w:name="P108"/>
      <w:bookmarkEnd w:id="9"/>
      <w:r>
        <w:rPr>
          <w:sz w:val="28"/>
          <w:szCs w:val="28"/>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актом;</w:t>
      </w:r>
    </w:p>
    <w:p>
      <w:pPr>
        <w:pStyle w:val="5"/>
        <w:spacing w:before="240"/>
        <w:ind w:firstLine="540"/>
        <w:jc w:val="both"/>
        <w:rPr>
          <w:sz w:val="28"/>
          <w:szCs w:val="28"/>
        </w:rPr>
      </w:pPr>
      <w:bookmarkStart w:id="10" w:name="P109"/>
      <w:bookmarkEnd w:id="10"/>
      <w:r>
        <w:rPr>
          <w:sz w:val="28"/>
          <w:szCs w:val="28"/>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pPr>
        <w:pStyle w:val="5"/>
        <w:spacing w:before="240"/>
        <w:ind w:firstLine="540"/>
        <w:jc w:val="both"/>
        <w:rPr>
          <w:b/>
          <w:sz w:val="28"/>
          <w:szCs w:val="28"/>
        </w:rPr>
      </w:pPr>
      <w:bookmarkStart w:id="11" w:name="P110"/>
      <w:bookmarkEnd w:id="11"/>
      <w:r>
        <w:rPr>
          <w:b/>
          <w:sz w:val="28"/>
          <w:szCs w:val="28"/>
        </w:rPr>
        <w:t xml:space="preserve">16) наличие размещенного в реестре муниципальных заданий на оказание муниципальных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администрацией </w:t>
      </w:r>
      <w:r>
        <w:rPr>
          <w:b/>
          <w:sz w:val="28"/>
          <w:szCs w:val="28"/>
          <w:lang w:val="ru-RU"/>
        </w:rPr>
        <w:t>Сысоевского</w:t>
      </w:r>
      <w:r>
        <w:rPr>
          <w:rFonts w:hint="default"/>
          <w:b/>
          <w:sz w:val="28"/>
          <w:szCs w:val="28"/>
          <w:lang w:val="ru-RU"/>
        </w:rPr>
        <w:t xml:space="preserve"> сельского поселения</w:t>
      </w:r>
      <w:r>
        <w:rPr>
          <w:b/>
          <w:sz w:val="28"/>
          <w:szCs w:val="28"/>
        </w:rPr>
        <w:t xml:space="preserve"> в случае представления Распоряжения при перечислении субсидии на финансовое обеспечение выполнения муниципального задания.</w:t>
      </w:r>
    </w:p>
    <w:p>
      <w:pPr>
        <w:pStyle w:val="5"/>
        <w:spacing w:before="240"/>
        <w:ind w:firstLine="540"/>
        <w:jc w:val="both"/>
        <w:rPr>
          <w:sz w:val="28"/>
          <w:szCs w:val="28"/>
        </w:rPr>
      </w:pPr>
      <w:bookmarkStart w:id="12" w:name="P115"/>
      <w:bookmarkEnd w:id="12"/>
      <w:bookmarkStart w:id="13" w:name="P114"/>
      <w:bookmarkEnd w:id="13"/>
      <w:r>
        <w:rPr>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w:t>
      </w:r>
    </w:p>
    <w:p>
      <w:pPr>
        <w:pStyle w:val="5"/>
        <w:spacing w:before="240"/>
        <w:ind w:firstLine="540"/>
        <w:jc w:val="both"/>
        <w:rPr>
          <w:sz w:val="28"/>
          <w:szCs w:val="28"/>
        </w:rPr>
      </w:pPr>
      <w:r>
        <w:rPr>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r>
        <w:fldChar w:fldCharType="begin"/>
      </w:r>
      <w:r>
        <w:instrText xml:space="preserve"> HYPERLINK \l "P87" </w:instrText>
      </w:r>
      <w:r>
        <w:fldChar w:fldCharType="separate"/>
      </w:r>
      <w:r>
        <w:rPr>
          <w:sz w:val="28"/>
          <w:szCs w:val="28"/>
        </w:rPr>
        <w:t>пунктом 6</w:t>
      </w:r>
      <w:r>
        <w:rPr>
          <w:sz w:val="28"/>
          <w:szCs w:val="28"/>
        </w:rPr>
        <w:fldChar w:fldCharType="end"/>
      </w:r>
      <w:r>
        <w:rPr>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pPr>
        <w:pStyle w:val="5"/>
        <w:spacing w:before="240"/>
        <w:ind w:firstLine="540"/>
        <w:jc w:val="both"/>
        <w:rPr>
          <w:sz w:val="28"/>
          <w:szCs w:val="28"/>
        </w:rPr>
      </w:pPr>
      <w:bookmarkStart w:id="14" w:name="P117"/>
      <w:bookmarkEnd w:id="14"/>
      <w:r>
        <w:rPr>
          <w:sz w:val="28"/>
          <w:szCs w:val="28"/>
        </w:rPr>
        <w:t xml:space="preserve">8. 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r>
        <w:fldChar w:fldCharType="begin"/>
      </w:r>
      <w:r>
        <w:instrText xml:space="preserve"> HYPERLINK \l "P87" </w:instrText>
      </w:r>
      <w:r>
        <w:fldChar w:fldCharType="separate"/>
      </w:r>
      <w:r>
        <w:rPr>
          <w:sz w:val="28"/>
          <w:szCs w:val="28"/>
        </w:rPr>
        <w:t>пунктом 6</w:t>
      </w:r>
      <w:r>
        <w:rPr>
          <w:sz w:val="28"/>
          <w:szCs w:val="28"/>
        </w:rPr>
        <w:fldChar w:fldCharType="end"/>
      </w:r>
      <w:r>
        <w:rPr>
          <w:sz w:val="28"/>
          <w:szCs w:val="28"/>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w:t>
      </w:r>
      <w:bookmarkStart w:id="15" w:name="P118"/>
      <w:bookmarkEnd w:id="15"/>
    </w:p>
    <w:p>
      <w:pPr>
        <w:pStyle w:val="5"/>
        <w:spacing w:before="240"/>
        <w:ind w:firstLine="540"/>
        <w:jc w:val="both"/>
        <w:rPr>
          <w:sz w:val="28"/>
          <w:szCs w:val="28"/>
        </w:rPr>
      </w:pPr>
      <w:r>
        <w:rPr>
          <w:sz w:val="28"/>
          <w:szCs w:val="28"/>
        </w:rPr>
        <w:t>9.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pPr>
        <w:pStyle w:val="5"/>
        <w:spacing w:before="240"/>
        <w:ind w:firstLine="540"/>
        <w:jc w:val="both"/>
        <w:rPr>
          <w:sz w:val="28"/>
          <w:szCs w:val="28"/>
        </w:rPr>
      </w:pPr>
      <w:bookmarkStart w:id="16" w:name="P119"/>
      <w:bookmarkEnd w:id="16"/>
      <w:r>
        <w:rPr>
          <w:sz w:val="28"/>
          <w:szCs w:val="28"/>
        </w:rPr>
        <w:t>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pPr>
        <w:pStyle w:val="5"/>
        <w:spacing w:before="240"/>
        <w:ind w:firstLine="540"/>
        <w:jc w:val="both"/>
        <w:rPr>
          <w:sz w:val="28"/>
          <w:szCs w:val="28"/>
        </w:rPr>
      </w:pPr>
      <w:r>
        <w:rPr>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5"/>
        <w:spacing w:before="240"/>
        <w:ind w:firstLine="540"/>
        <w:jc w:val="both"/>
        <w:rPr>
          <w:sz w:val="28"/>
          <w:szCs w:val="28"/>
        </w:rPr>
      </w:pPr>
      <w:r>
        <w:rPr>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5"/>
        <w:spacing w:before="240"/>
        <w:ind w:firstLine="540"/>
        <w:jc w:val="both"/>
        <w:rPr>
          <w:sz w:val="28"/>
          <w:szCs w:val="28"/>
        </w:rPr>
      </w:pPr>
      <w:r>
        <w:rPr>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pPr>
        <w:pStyle w:val="5"/>
        <w:spacing w:before="240"/>
        <w:ind w:firstLine="540"/>
        <w:jc w:val="both"/>
        <w:rPr>
          <w:sz w:val="28"/>
          <w:szCs w:val="28"/>
        </w:rPr>
      </w:pPr>
      <w:bookmarkStart w:id="17" w:name="P123"/>
      <w:bookmarkEnd w:id="17"/>
      <w:r>
        <w:rPr>
          <w:sz w:val="28"/>
          <w:szCs w:val="28"/>
        </w:rPr>
        <w:t>11.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pPr>
        <w:pStyle w:val="5"/>
        <w:spacing w:before="240"/>
        <w:ind w:firstLine="540"/>
        <w:jc w:val="both"/>
        <w:rPr>
          <w:sz w:val="28"/>
          <w:szCs w:val="28"/>
        </w:rPr>
      </w:pPr>
      <w:r>
        <w:rPr>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pPr>
        <w:pStyle w:val="5"/>
        <w:spacing w:before="240"/>
        <w:ind w:firstLine="540"/>
        <w:jc w:val="both"/>
        <w:rPr>
          <w:sz w:val="28"/>
          <w:szCs w:val="28"/>
        </w:rPr>
      </w:pPr>
      <w:r>
        <w:rPr>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5"/>
        <w:spacing w:before="240"/>
        <w:ind w:firstLine="540"/>
        <w:jc w:val="both"/>
        <w:rPr>
          <w:sz w:val="28"/>
          <w:szCs w:val="28"/>
        </w:rPr>
      </w:pPr>
      <w:r>
        <w:rPr>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pPr>
        <w:pStyle w:val="5"/>
        <w:spacing w:before="240"/>
        <w:ind w:firstLine="540"/>
        <w:jc w:val="both"/>
        <w:rPr>
          <w:sz w:val="28"/>
          <w:szCs w:val="28"/>
        </w:rPr>
      </w:pPr>
      <w:r>
        <w:rPr>
          <w:sz w:val="28"/>
          <w:szCs w:val="28"/>
        </w:rPr>
        <w:t xml:space="preserve">12. В случае если информация, указанная в Распоряжении, или его форма не соответствуют требованиям, установленным </w:t>
      </w:r>
      <w:r>
        <w:fldChar w:fldCharType="begin"/>
      </w:r>
      <w:r>
        <w:instrText xml:space="preserve"> HYPERLINK \l "P47" </w:instrText>
      </w:r>
      <w:r>
        <w:fldChar w:fldCharType="separate"/>
      </w:r>
      <w:r>
        <w:rPr>
          <w:sz w:val="28"/>
          <w:szCs w:val="28"/>
        </w:rPr>
        <w:t>пунктами 3</w:t>
      </w:r>
      <w:r>
        <w:rPr>
          <w:sz w:val="28"/>
          <w:szCs w:val="28"/>
        </w:rPr>
        <w:fldChar w:fldCharType="end"/>
      </w:r>
      <w:r>
        <w:rPr>
          <w:sz w:val="28"/>
          <w:szCs w:val="28"/>
        </w:rPr>
        <w:t xml:space="preserve">, </w:t>
      </w:r>
      <w:r>
        <w:fldChar w:fldCharType="begin"/>
      </w:r>
      <w:r>
        <w:instrText xml:space="preserve"> HYPERLINK \l "P50" </w:instrText>
      </w:r>
      <w:r>
        <w:fldChar w:fldCharType="separate"/>
      </w:r>
      <w:r>
        <w:rPr>
          <w:sz w:val="28"/>
          <w:szCs w:val="28"/>
        </w:rPr>
        <w:t>4</w:t>
      </w:r>
      <w:r>
        <w:rPr>
          <w:sz w:val="28"/>
          <w:szCs w:val="28"/>
        </w:rPr>
        <w:fldChar w:fldCharType="end"/>
      </w:r>
      <w:r>
        <w:rPr>
          <w:sz w:val="28"/>
          <w:szCs w:val="28"/>
        </w:rPr>
        <w:t xml:space="preserve">, </w:t>
      </w:r>
      <w:r>
        <w:fldChar w:fldCharType="begin"/>
      </w:r>
      <w:r>
        <w:instrText xml:space="preserve"> HYPERLINK \l "P88" </w:instrText>
      </w:r>
      <w:r>
        <w:fldChar w:fldCharType="separate"/>
      </w:r>
      <w:r>
        <w:rPr>
          <w:sz w:val="28"/>
          <w:szCs w:val="28"/>
        </w:rPr>
        <w:t>подпунктами 1</w:t>
      </w:r>
      <w:r>
        <w:rPr>
          <w:sz w:val="28"/>
          <w:szCs w:val="28"/>
        </w:rPr>
        <w:fldChar w:fldCharType="end"/>
      </w:r>
      <w:r>
        <w:rPr>
          <w:sz w:val="28"/>
          <w:szCs w:val="28"/>
        </w:rPr>
        <w:t xml:space="preserve"> - </w:t>
      </w:r>
      <w:r>
        <w:fldChar w:fldCharType="begin"/>
      </w:r>
      <w:r>
        <w:instrText xml:space="preserve"> HYPERLINK \l "P103" </w:instrText>
      </w:r>
      <w:r>
        <w:fldChar w:fldCharType="separate"/>
      </w:r>
      <w:r>
        <w:rPr>
          <w:sz w:val="28"/>
          <w:szCs w:val="28"/>
        </w:rPr>
        <w:t>13</w:t>
      </w:r>
      <w:r>
        <w:rPr>
          <w:sz w:val="28"/>
          <w:szCs w:val="28"/>
        </w:rPr>
        <w:fldChar w:fldCharType="end"/>
      </w:r>
      <w:r>
        <w:rPr>
          <w:sz w:val="28"/>
          <w:szCs w:val="28"/>
        </w:rPr>
        <w:t xml:space="preserve">, </w:t>
      </w:r>
      <w:r>
        <w:fldChar w:fldCharType="begin"/>
      </w:r>
      <w:r>
        <w:instrText xml:space="preserve"> HYPERLINK \l "P110" </w:instrText>
      </w:r>
      <w:r>
        <w:fldChar w:fldCharType="separate"/>
      </w:r>
      <w:r>
        <w:rPr>
          <w:b/>
          <w:sz w:val="28"/>
          <w:szCs w:val="28"/>
        </w:rPr>
        <w:t>16</w:t>
      </w:r>
      <w:r>
        <w:rPr>
          <w:sz w:val="28"/>
          <w:szCs w:val="28"/>
        </w:rPr>
        <w:t xml:space="preserve"> пункта 6</w:t>
      </w:r>
      <w:r>
        <w:rPr>
          <w:sz w:val="28"/>
          <w:szCs w:val="28"/>
        </w:rPr>
        <w:fldChar w:fldCharType="end"/>
      </w:r>
      <w:r>
        <w:rPr>
          <w:sz w:val="28"/>
          <w:szCs w:val="28"/>
        </w:rPr>
        <w:t xml:space="preserve">, </w:t>
      </w:r>
      <w:r>
        <w:fldChar w:fldCharType="begin"/>
      </w:r>
      <w:r>
        <w:instrText xml:space="preserve"> HYPERLINK \l "P115" </w:instrText>
      </w:r>
      <w:r>
        <w:fldChar w:fldCharType="separate"/>
      </w:r>
      <w:r>
        <w:rPr>
          <w:sz w:val="28"/>
          <w:szCs w:val="28"/>
        </w:rPr>
        <w:t>пунктами 7</w:t>
      </w:r>
      <w:r>
        <w:rPr>
          <w:sz w:val="28"/>
          <w:szCs w:val="28"/>
        </w:rPr>
        <w:fldChar w:fldCharType="end"/>
      </w:r>
      <w:r>
        <w:rPr>
          <w:sz w:val="28"/>
          <w:szCs w:val="28"/>
        </w:rPr>
        <w:t xml:space="preserve">, </w:t>
      </w:r>
      <w:r>
        <w:fldChar w:fldCharType="begin"/>
      </w:r>
      <w:r>
        <w:instrText xml:space="preserve"> HYPERLINK \l "P117" </w:instrText>
      </w:r>
      <w:r>
        <w:fldChar w:fldCharType="separate"/>
      </w:r>
      <w:r>
        <w:rPr>
          <w:sz w:val="28"/>
          <w:szCs w:val="28"/>
        </w:rPr>
        <w:t>8</w:t>
      </w:r>
      <w:r>
        <w:rPr>
          <w:sz w:val="28"/>
          <w:szCs w:val="28"/>
        </w:rPr>
        <w:fldChar w:fldCharType="end"/>
      </w:r>
      <w:r>
        <w:rPr>
          <w:sz w:val="28"/>
          <w:szCs w:val="28"/>
        </w:rPr>
        <w:t xml:space="preserve">, </w:t>
      </w:r>
      <w:r>
        <w:fldChar w:fldCharType="begin"/>
      </w:r>
      <w:r>
        <w:instrText xml:space="preserve"> HYPERLINK \l "P119" </w:instrText>
      </w:r>
      <w:r>
        <w:fldChar w:fldCharType="separate"/>
      </w:r>
      <w:r>
        <w:rPr>
          <w:sz w:val="28"/>
          <w:szCs w:val="28"/>
        </w:rPr>
        <w:t>10</w:t>
      </w:r>
      <w:r>
        <w:rPr>
          <w:sz w:val="28"/>
          <w:szCs w:val="28"/>
        </w:rPr>
        <w:fldChar w:fldCharType="end"/>
      </w:r>
      <w:r>
        <w:rPr>
          <w:sz w:val="28"/>
          <w:szCs w:val="28"/>
        </w:rPr>
        <w:t xml:space="preserve"> и </w:t>
      </w:r>
      <w:r>
        <w:fldChar w:fldCharType="begin"/>
      </w:r>
      <w:r>
        <w:instrText xml:space="preserve"> HYPERLINK \l "P123" </w:instrText>
      </w:r>
      <w:r>
        <w:fldChar w:fldCharType="separate"/>
      </w:r>
      <w:r>
        <w:rPr>
          <w:sz w:val="28"/>
          <w:szCs w:val="28"/>
        </w:rPr>
        <w:t>11</w:t>
      </w:r>
      <w:r>
        <w:rPr>
          <w:sz w:val="28"/>
          <w:szCs w:val="28"/>
        </w:rPr>
        <w:fldChar w:fldCharType="end"/>
      </w:r>
      <w:r>
        <w:rPr>
          <w:sz w:val="28"/>
          <w:szCs w:val="28"/>
        </w:rPr>
        <w:t xml:space="preserve"> настоящего Порядка, или в случае установления нарушения получателем средств местного бюджета условий, установленных </w:t>
      </w:r>
      <w:r>
        <w:fldChar w:fldCharType="begin"/>
      </w:r>
      <w:r>
        <w:instrText xml:space="preserve"> HYPERLINK \l "P118" </w:instrText>
      </w:r>
      <w:r>
        <w:fldChar w:fldCharType="separate"/>
      </w:r>
      <w:r>
        <w:rPr>
          <w:sz w:val="28"/>
          <w:szCs w:val="28"/>
        </w:rPr>
        <w:t>пунктом 9</w:t>
      </w:r>
      <w:r>
        <w:rPr>
          <w:sz w:val="28"/>
          <w:szCs w:val="28"/>
        </w:rPr>
        <w:fldChar w:fldCharType="end"/>
      </w:r>
      <w:r>
        <w:rPr>
          <w:sz w:val="28"/>
          <w:szCs w:val="28"/>
        </w:rPr>
        <w:t xml:space="preserve"> настоящего Порядка, орган Федерального казначейства не позднее сроков, установленных </w:t>
      </w:r>
      <w:r>
        <w:fldChar w:fldCharType="begin"/>
      </w:r>
      <w:r>
        <w:instrText xml:space="preserve"> HYPERLINK \l "P47" </w:instrText>
      </w:r>
      <w:r>
        <w:fldChar w:fldCharType="separate"/>
      </w:r>
      <w:r>
        <w:rPr>
          <w:sz w:val="28"/>
          <w:szCs w:val="28"/>
        </w:rPr>
        <w:t>пунктом 3</w:t>
      </w:r>
      <w:r>
        <w:rPr>
          <w:sz w:val="28"/>
          <w:szCs w:val="28"/>
        </w:rPr>
        <w:fldChar w:fldCharType="end"/>
      </w:r>
      <w:r>
        <w:rPr>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pPr>
        <w:pStyle w:val="5"/>
        <w:jc w:val="both"/>
        <w:rPr>
          <w:sz w:val="28"/>
          <w:szCs w:val="28"/>
        </w:rPr>
      </w:pPr>
    </w:p>
    <w:p>
      <w:pPr>
        <w:pStyle w:val="5"/>
        <w:ind w:firstLine="540"/>
        <w:jc w:val="both"/>
        <w:rPr>
          <w:sz w:val="28"/>
          <w:szCs w:val="28"/>
        </w:rPr>
      </w:pPr>
      <w:r>
        <w:rPr>
          <w:sz w:val="28"/>
          <w:szCs w:val="28"/>
        </w:rPr>
        <w:t xml:space="preserve">При установлении органом Федерального казначейства нарушений получателем средств местного бюджета условий, установленных </w:t>
      </w:r>
      <w:r>
        <w:fldChar w:fldCharType="begin"/>
      </w:r>
      <w:r>
        <w:instrText xml:space="preserve"> HYPERLINK \l "P108" </w:instrText>
      </w:r>
      <w:r>
        <w:fldChar w:fldCharType="separate"/>
      </w:r>
      <w:r>
        <w:rPr>
          <w:sz w:val="28"/>
          <w:szCs w:val="28"/>
        </w:rPr>
        <w:t>подпунктами 14</w:t>
      </w:r>
      <w:r>
        <w:rPr>
          <w:sz w:val="28"/>
          <w:szCs w:val="28"/>
        </w:rPr>
        <w:fldChar w:fldCharType="end"/>
      </w:r>
      <w:r>
        <w:rPr>
          <w:sz w:val="28"/>
          <w:szCs w:val="28"/>
        </w:rPr>
        <w:t xml:space="preserve"> и (или) </w:t>
      </w:r>
      <w:r>
        <w:fldChar w:fldCharType="begin"/>
      </w:r>
      <w:r>
        <w:instrText xml:space="preserve"> HYPERLINK \l "P109" </w:instrText>
      </w:r>
      <w:r>
        <w:fldChar w:fldCharType="separate"/>
      </w:r>
      <w:r>
        <w:rPr>
          <w:sz w:val="28"/>
          <w:szCs w:val="28"/>
        </w:rPr>
        <w:t>15 пункта 6</w:t>
      </w:r>
      <w:r>
        <w:rPr>
          <w:sz w:val="28"/>
          <w:szCs w:val="28"/>
        </w:rPr>
        <w:fldChar w:fldCharType="end"/>
      </w:r>
      <w:r>
        <w:rPr>
          <w:sz w:val="28"/>
          <w:szCs w:val="28"/>
        </w:rPr>
        <w:t xml:space="preserve">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(код 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pPr>
        <w:pStyle w:val="5"/>
        <w:ind w:firstLine="540"/>
        <w:jc w:val="both"/>
        <w:rPr>
          <w:sz w:val="28"/>
          <w:szCs w:val="28"/>
        </w:rPr>
      </w:pPr>
    </w:p>
    <w:p>
      <w:pPr>
        <w:pStyle w:val="5"/>
        <w:ind w:firstLine="540"/>
        <w:jc w:val="both"/>
        <w:rPr>
          <w:sz w:val="28"/>
          <w:szCs w:val="28"/>
        </w:rPr>
      </w:pPr>
      <w:r>
        <w:rPr>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pPr>
        <w:pStyle w:val="5"/>
        <w:spacing w:before="240"/>
        <w:ind w:firstLine="540"/>
        <w:jc w:val="both"/>
        <w:rPr>
          <w:sz w:val="28"/>
          <w:szCs w:val="28"/>
        </w:rPr>
      </w:pPr>
      <w:r>
        <w:rPr>
          <w:sz w:val="28"/>
          <w:szCs w:val="28"/>
        </w:rPr>
        <w:t>14.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w:t>
      </w:r>
    </w:p>
    <w:p>
      <w:pPr>
        <w:pStyle w:val="5"/>
        <w:jc w:val="both"/>
        <w:rPr>
          <w:sz w:val="28"/>
          <w:szCs w:val="28"/>
        </w:rPr>
      </w:pPr>
    </w:p>
    <w:p>
      <w:pPr>
        <w:pStyle w:val="5"/>
        <w:jc w:val="both"/>
        <w:rPr>
          <w:sz w:val="28"/>
          <w:szCs w:val="28"/>
        </w:rPr>
      </w:pPr>
    </w:p>
    <w:p>
      <w:pPr>
        <w:pStyle w:val="5"/>
        <w:jc w:val="both"/>
        <w:rPr>
          <w:sz w:val="28"/>
          <w:szCs w:val="28"/>
        </w:rPr>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both"/>
      </w:pPr>
    </w:p>
    <w:p>
      <w:pPr>
        <w:pStyle w:val="5"/>
        <w:jc w:val="right"/>
        <w:outlineLvl w:val="1"/>
      </w:pPr>
    </w:p>
    <w:p>
      <w:pPr>
        <w:pStyle w:val="5"/>
        <w:jc w:val="right"/>
        <w:outlineLvl w:val="1"/>
      </w:pPr>
    </w:p>
    <w:p>
      <w:pPr>
        <w:pStyle w:val="5"/>
        <w:jc w:val="right"/>
        <w:outlineLvl w:val="1"/>
      </w:pPr>
    </w:p>
    <w:p>
      <w:pPr>
        <w:pStyle w:val="5"/>
        <w:jc w:val="right"/>
        <w:outlineLvl w:val="1"/>
      </w:pPr>
    </w:p>
    <w:p>
      <w:pPr>
        <w:pStyle w:val="5"/>
        <w:jc w:val="right"/>
        <w:outlineLvl w:val="1"/>
      </w:pPr>
    </w:p>
    <w:p>
      <w:pPr>
        <w:pStyle w:val="5"/>
        <w:jc w:val="right"/>
        <w:outlineLvl w:val="1"/>
      </w:pPr>
    </w:p>
    <w:p>
      <w:pPr>
        <w:pStyle w:val="5"/>
        <w:jc w:val="right"/>
        <w:outlineLvl w:val="1"/>
      </w:pPr>
      <w:r>
        <w:t>Приложение N 1</w:t>
      </w:r>
    </w:p>
    <w:p>
      <w:pPr>
        <w:pStyle w:val="5"/>
        <w:jc w:val="right"/>
      </w:pPr>
      <w:r>
        <w:t>к Порядку санкционирования оплаты</w:t>
      </w:r>
    </w:p>
    <w:p>
      <w:pPr>
        <w:pStyle w:val="5"/>
        <w:jc w:val="right"/>
      </w:pPr>
      <w:r>
        <w:t>денежных обязательств получателей</w:t>
      </w:r>
    </w:p>
    <w:p>
      <w:pPr>
        <w:pStyle w:val="5"/>
        <w:jc w:val="right"/>
      </w:pPr>
      <w:r>
        <w:t>средств местного бюджета</w:t>
      </w:r>
    </w:p>
    <w:p>
      <w:pPr>
        <w:pStyle w:val="5"/>
        <w:jc w:val="right"/>
      </w:pPr>
      <w:r>
        <w:t>и оплаты денежных обязательств,</w:t>
      </w:r>
    </w:p>
    <w:p>
      <w:pPr>
        <w:pStyle w:val="5"/>
        <w:jc w:val="right"/>
      </w:pPr>
      <w:r>
        <w:t>подлежащих исполнению за счет</w:t>
      </w:r>
    </w:p>
    <w:p>
      <w:pPr>
        <w:pStyle w:val="5"/>
        <w:jc w:val="right"/>
      </w:pPr>
      <w:r>
        <w:t>бюджетных ассигнований по источникам</w:t>
      </w:r>
    </w:p>
    <w:p>
      <w:pPr>
        <w:pStyle w:val="5"/>
        <w:jc w:val="right"/>
      </w:pPr>
      <w:r>
        <w:t>финансирования дефицита местного</w:t>
      </w:r>
    </w:p>
    <w:p>
      <w:pPr>
        <w:pStyle w:val="5"/>
        <w:jc w:val="right"/>
        <w:rPr>
          <w:rFonts w:hint="default"/>
          <w:lang w:val="ru-RU"/>
        </w:rPr>
      </w:pPr>
      <w:r>
        <w:t xml:space="preserve">бюджета, утвержденному </w:t>
      </w:r>
      <w:r>
        <w:rPr>
          <w:lang w:val="ru-RU"/>
        </w:rPr>
        <w:t>постановлением</w:t>
      </w:r>
    </w:p>
    <w:p>
      <w:pPr>
        <w:pStyle w:val="5"/>
        <w:jc w:val="right"/>
        <w:rPr>
          <w:rFonts w:hint="default"/>
          <w:lang w:val="ru-RU"/>
        </w:rPr>
      </w:pPr>
      <w:r>
        <w:t>От</w:t>
      </w:r>
      <w:r>
        <w:rPr>
          <w:rFonts w:hint="default"/>
          <w:lang w:val="ru-RU"/>
        </w:rPr>
        <w:t xml:space="preserve"> 17.01.</w:t>
      </w:r>
      <w:r>
        <w:t>202</w:t>
      </w:r>
      <w:r>
        <w:rPr>
          <w:rFonts w:hint="default"/>
          <w:lang w:val="ru-RU"/>
        </w:rPr>
        <w:t>4г.</w:t>
      </w:r>
      <w:r>
        <w:t xml:space="preserve"> №</w:t>
      </w:r>
      <w:r>
        <w:rPr>
          <w:rFonts w:hint="default"/>
          <w:lang w:val="ru-RU"/>
        </w:rPr>
        <w:t>4</w:t>
      </w:r>
    </w:p>
    <w:p>
      <w:pPr>
        <w:pStyle w:val="5"/>
        <w:jc w:val="both"/>
      </w:pPr>
    </w:p>
    <w:tbl>
      <w:tblPr>
        <w:tblStyle w:val="3"/>
        <w:tblW w:w="0" w:type="auto"/>
        <w:tblInd w:w="0" w:type="dxa"/>
        <w:tblLayout w:type="fixed"/>
        <w:tblCellMar>
          <w:top w:w="102" w:type="dxa"/>
          <w:left w:w="62" w:type="dxa"/>
          <w:bottom w:w="102" w:type="dxa"/>
          <w:right w:w="62" w:type="dxa"/>
        </w:tblCellMar>
      </w:tblPr>
      <w:tblGrid>
        <w:gridCol w:w="9071"/>
      </w:tblGrid>
      <w:tr>
        <w:tblPrEx>
          <w:tblCellMar>
            <w:top w:w="102" w:type="dxa"/>
            <w:left w:w="62" w:type="dxa"/>
            <w:bottom w:w="102" w:type="dxa"/>
            <w:right w:w="62" w:type="dxa"/>
          </w:tblCellMar>
        </w:tblPrEx>
        <w:tc>
          <w:tcPr>
            <w:tcW w:w="9071" w:type="dxa"/>
            <w:tcBorders>
              <w:top w:val="nil"/>
              <w:left w:val="nil"/>
              <w:bottom w:val="nil"/>
              <w:right w:val="nil"/>
            </w:tcBorders>
          </w:tcPr>
          <w:p>
            <w:pPr>
              <w:pStyle w:val="5"/>
              <w:jc w:val="center"/>
            </w:pPr>
            <w:bookmarkStart w:id="18" w:name="P155"/>
            <w:bookmarkEnd w:id="18"/>
            <w:r>
              <w:t>УВЕДОМЛЕНИЕ N _____</w:t>
            </w:r>
          </w:p>
          <w:p>
            <w:pPr>
              <w:pStyle w:val="5"/>
              <w:jc w:val="center"/>
            </w:pPr>
            <w:r>
              <w:t>о нарушении установленных предельных размеров авансового платежа</w:t>
            </w:r>
          </w:p>
        </w:tc>
      </w:tr>
    </w:tbl>
    <w:p>
      <w:pPr>
        <w:pStyle w:val="5"/>
        <w:jc w:val="both"/>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061"/>
        <w:gridCol w:w="340"/>
        <w:gridCol w:w="2324"/>
        <w:gridCol w:w="340"/>
        <w:gridCol w:w="1928"/>
        <w:gridCol w:w="1020"/>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725" w:type="dxa"/>
            <w:gridSpan w:val="3"/>
            <w:vMerge w:val="restart"/>
            <w:tcBorders>
              <w:top w:val="nil"/>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tcPr>
          <w:p>
            <w:pPr>
              <w:pStyle w:val="5"/>
            </w:pPr>
          </w:p>
        </w:tc>
        <w:tc>
          <w:tcPr>
            <w:tcW w:w="1020" w:type="dxa"/>
            <w:tcBorders>
              <w:top w:val="single" w:color="auto" w:sz="4" w:space="0"/>
              <w:left w:val="single" w:color="auto" w:sz="4" w:space="0"/>
              <w:bottom w:val="single" w:color="auto" w:sz="4" w:space="0"/>
              <w:right w:val="single" w:color="auto" w:sz="4" w:space="0"/>
            </w:tcBorders>
            <w:vAlign w:val="bottom"/>
          </w:tcPr>
          <w:p>
            <w:pPr>
              <w:pStyle w:val="5"/>
              <w:jc w:val="center"/>
            </w:pPr>
            <w:r>
              <w:t>Коды</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725" w:type="dxa"/>
            <w:gridSpan w:val="3"/>
            <w:vMerge w:val="continue"/>
            <w:tcBorders>
              <w:top w:val="nil"/>
              <w:left w:val="nil"/>
              <w:bottom w:val="nil"/>
              <w:right w:val="nil"/>
            </w:tcBorders>
          </w:tc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Форма по КФД</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jc w:val="center"/>
            </w:pPr>
            <w:r>
              <w:t>0504713</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2324" w:type="dxa"/>
            <w:tcBorders>
              <w:top w:val="nil"/>
              <w:left w:val="nil"/>
              <w:bottom w:val="nil"/>
              <w:right w:val="nil"/>
            </w:tcBorders>
            <w:vAlign w:val="bottom"/>
          </w:tcPr>
          <w:p>
            <w:pPr>
              <w:pStyle w:val="5"/>
              <w:jc w:val="center"/>
            </w:pPr>
            <w:r>
              <w:t>от "__" _____ 20__ г.</w:t>
            </w: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Дата</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Наименование органа Федерального казначейства</w:t>
            </w:r>
          </w:p>
        </w:tc>
        <w:tc>
          <w:tcPr>
            <w:tcW w:w="340" w:type="dxa"/>
            <w:tcBorders>
              <w:top w:val="nil"/>
              <w:left w:val="nil"/>
              <w:bottom w:val="nil"/>
              <w:right w:val="nil"/>
            </w:tcBorders>
          </w:tcPr>
          <w:p>
            <w:pPr>
              <w:pStyle w:val="5"/>
            </w:pPr>
          </w:p>
        </w:tc>
        <w:tc>
          <w:tcPr>
            <w:tcW w:w="2324" w:type="dxa"/>
            <w:tcBorders>
              <w:top w:val="nil"/>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КОФК</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vMerge w:val="restart"/>
            <w:tcBorders>
              <w:top w:val="nil"/>
              <w:left w:val="nil"/>
              <w:bottom w:val="nil"/>
              <w:right w:val="nil"/>
            </w:tcBorders>
          </w:tcPr>
          <w:p>
            <w:pPr>
              <w:pStyle w:val="5"/>
            </w:pPr>
            <w:r>
              <w:t>Главный распорядитель (распорядитель) бюджетных средств</w:t>
            </w:r>
          </w:p>
        </w:tc>
        <w:tc>
          <w:tcPr>
            <w:tcW w:w="340" w:type="dxa"/>
            <w:vMerge w:val="restart"/>
            <w:tcBorders>
              <w:top w:val="nil"/>
              <w:left w:val="nil"/>
              <w:bottom w:val="nil"/>
              <w:right w:val="nil"/>
            </w:tcBorders>
          </w:tcPr>
          <w:p>
            <w:pPr>
              <w:pStyle w:val="5"/>
            </w:pPr>
          </w:p>
        </w:tc>
        <w:tc>
          <w:tcPr>
            <w:tcW w:w="2324" w:type="dxa"/>
            <w:tcBorders>
              <w:top w:val="single" w:color="auto" w:sz="4" w:space="0"/>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Глава по БК</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vMerge w:val="continue"/>
            <w:tcBorders>
              <w:top w:val="nil"/>
              <w:left w:val="nil"/>
              <w:bottom w:val="nil"/>
              <w:right w:val="nil"/>
            </w:tcBorders>
          </w:tcPr>
          <w:p/>
        </w:tc>
        <w:tc>
          <w:tcPr>
            <w:tcW w:w="340" w:type="dxa"/>
            <w:vMerge w:val="continue"/>
            <w:tcBorders>
              <w:top w:val="nil"/>
              <w:left w:val="nil"/>
              <w:bottom w:val="nil"/>
              <w:right w:val="nil"/>
            </w:tcBorders>
          </w:tcPr>
          <w:p/>
        </w:tc>
        <w:tc>
          <w:tcPr>
            <w:tcW w:w="2324" w:type="dxa"/>
            <w:tcBorders>
              <w:top w:val="nil"/>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Сводному реестру</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Получатель бюджетных средств</w:t>
            </w:r>
          </w:p>
        </w:tc>
        <w:tc>
          <w:tcPr>
            <w:tcW w:w="340" w:type="dxa"/>
            <w:tcBorders>
              <w:top w:val="nil"/>
              <w:left w:val="nil"/>
              <w:bottom w:val="nil"/>
              <w:right w:val="nil"/>
            </w:tcBorders>
          </w:tcPr>
          <w:p>
            <w:pPr>
              <w:pStyle w:val="5"/>
            </w:pPr>
          </w:p>
        </w:tc>
        <w:tc>
          <w:tcPr>
            <w:tcW w:w="2324" w:type="dxa"/>
            <w:tcBorders>
              <w:top w:val="single" w:color="auto" w:sz="4" w:space="0"/>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Сводному реестру</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2324" w:type="dxa"/>
            <w:tcBorders>
              <w:top w:val="single" w:color="auto" w:sz="4" w:space="0"/>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Номер лицевого счета получателя</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Наименование бюджета</w:t>
            </w:r>
          </w:p>
        </w:tc>
        <w:tc>
          <w:tcPr>
            <w:tcW w:w="340" w:type="dxa"/>
            <w:tcBorders>
              <w:top w:val="nil"/>
              <w:left w:val="nil"/>
              <w:bottom w:val="nil"/>
              <w:right w:val="nil"/>
            </w:tcBorders>
          </w:tcPr>
          <w:p>
            <w:pPr>
              <w:pStyle w:val="5"/>
            </w:pPr>
          </w:p>
        </w:tc>
        <w:tc>
          <w:tcPr>
            <w:tcW w:w="2324" w:type="dxa"/>
            <w:tcBorders>
              <w:top w:val="nil"/>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pP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Финансовый орган</w:t>
            </w:r>
          </w:p>
        </w:tc>
        <w:tc>
          <w:tcPr>
            <w:tcW w:w="340" w:type="dxa"/>
            <w:tcBorders>
              <w:top w:val="nil"/>
              <w:left w:val="nil"/>
              <w:bottom w:val="nil"/>
              <w:right w:val="nil"/>
            </w:tcBorders>
          </w:tcPr>
          <w:p>
            <w:pPr>
              <w:pStyle w:val="5"/>
            </w:pPr>
          </w:p>
        </w:tc>
        <w:tc>
          <w:tcPr>
            <w:tcW w:w="2324" w:type="dxa"/>
            <w:tcBorders>
              <w:top w:val="single" w:color="auto" w:sz="4" w:space="0"/>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pP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2324" w:type="dxa"/>
            <w:tcBorders>
              <w:top w:val="single" w:color="auto" w:sz="4" w:space="0"/>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Учетный номер обязательства</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725" w:type="dxa"/>
            <w:gridSpan w:val="3"/>
            <w:tcBorders>
              <w:top w:val="nil"/>
              <w:left w:val="nil"/>
              <w:bottom w:val="nil"/>
              <w:right w:val="nil"/>
            </w:tcBorders>
          </w:tcPr>
          <w:p>
            <w:pPr>
              <w:pStyle w:val="5"/>
            </w:pPr>
            <w:r>
              <w:t>Единица измерения: руб. (с точностью до второго десятичного знака)</w:t>
            </w: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ОКЕИ</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jc w:val="center"/>
            </w:pPr>
            <w:r>
              <w:fldChar w:fldCharType="begin"/>
            </w:r>
            <w:r>
              <w:instrText xml:space="preserve"> HYPERLINK "consultantplus://offline/ref=B8C358CABE34CB16428F5AB6922F81A28CAE010818502096EC042FB4A0E37402F8F59685C3C3EAFFD8B133885151B427B5C1BE33CA32E5A2k6x5E" </w:instrText>
            </w:r>
            <w:r>
              <w:fldChar w:fldCharType="separate"/>
            </w:r>
            <w:r>
              <w:rPr>
                <w:color w:val="0000FF"/>
              </w:rPr>
              <w:t>383</w:t>
            </w:r>
            <w:r>
              <w:rPr>
                <w:color w:val="0000FF"/>
              </w:rPr>
              <w:fldChar w:fldCharType="end"/>
            </w:r>
          </w:p>
        </w:tc>
      </w:tr>
    </w:tbl>
    <w:p>
      <w:pPr>
        <w:pStyle w:val="5"/>
        <w:jc w:val="both"/>
      </w:pPr>
    </w:p>
    <w:p>
      <w:pPr>
        <w:sectPr>
          <w:pgSz w:w="11906" w:h="16838"/>
          <w:pgMar w:top="1134" w:right="850" w:bottom="1134" w:left="1701" w:header="708" w:footer="708" w:gutter="0"/>
          <w:cols w:space="708" w:num="1"/>
          <w:docGrid w:linePitch="360" w:charSpace="0"/>
        </w:sectPr>
      </w:pP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510"/>
        <w:gridCol w:w="567"/>
        <w:gridCol w:w="567"/>
        <w:gridCol w:w="1020"/>
        <w:gridCol w:w="567"/>
        <w:gridCol w:w="624"/>
        <w:gridCol w:w="1701"/>
        <w:gridCol w:w="2154"/>
        <w:gridCol w:w="1531"/>
        <w:gridCol w:w="7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3855" w:type="dxa"/>
            <w:gridSpan w:val="6"/>
            <w:tcBorders>
              <w:left w:val="nil"/>
            </w:tcBorders>
          </w:tcPr>
          <w:p>
            <w:pPr>
              <w:pStyle w:val="5"/>
              <w:jc w:val="center"/>
            </w:pPr>
            <w:r>
              <w:t>Государственный контракт (договор)</w:t>
            </w:r>
          </w:p>
        </w:tc>
        <w:tc>
          <w:tcPr>
            <w:tcW w:w="1701" w:type="dxa"/>
            <w:vMerge w:val="restart"/>
          </w:tcPr>
          <w:p>
            <w:pPr>
              <w:pStyle w:val="5"/>
              <w:jc w:val="center"/>
            </w:pPr>
            <w: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154" w:type="dxa"/>
            <w:vMerge w:val="restart"/>
          </w:tcPr>
          <w:p>
            <w:pPr>
              <w:pStyle w:val="5"/>
              <w:jc w:val="center"/>
            </w:pPr>
            <w: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pPr>
              <w:pStyle w:val="5"/>
              <w:jc w:val="center"/>
            </w:pPr>
            <w: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pPr>
              <w:pStyle w:val="5"/>
              <w:jc w:val="center"/>
            </w:pPr>
            <w:r>
              <w:t>Примечание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10" w:type="dxa"/>
            <w:vMerge w:val="restart"/>
            <w:tcBorders>
              <w:left w:val="nil"/>
            </w:tcBorders>
          </w:tcPr>
          <w:p>
            <w:pPr>
              <w:pStyle w:val="5"/>
              <w:jc w:val="center"/>
            </w:pPr>
            <w:r>
              <w:t>номер</w:t>
            </w:r>
          </w:p>
        </w:tc>
        <w:tc>
          <w:tcPr>
            <w:tcW w:w="567" w:type="dxa"/>
            <w:vMerge w:val="restart"/>
          </w:tcPr>
          <w:p>
            <w:pPr>
              <w:pStyle w:val="5"/>
              <w:jc w:val="center"/>
            </w:pPr>
            <w:r>
              <w:t>дата</w:t>
            </w:r>
          </w:p>
        </w:tc>
        <w:tc>
          <w:tcPr>
            <w:tcW w:w="567" w:type="dxa"/>
            <w:vMerge w:val="restart"/>
          </w:tcPr>
          <w:p>
            <w:pPr>
              <w:pStyle w:val="5"/>
              <w:jc w:val="center"/>
            </w:pPr>
            <w:r>
              <w:t>сумма</w:t>
            </w:r>
          </w:p>
        </w:tc>
        <w:tc>
          <w:tcPr>
            <w:tcW w:w="1587" w:type="dxa"/>
            <w:gridSpan w:val="2"/>
          </w:tcPr>
          <w:p>
            <w:pPr>
              <w:pStyle w:val="5"/>
              <w:jc w:val="center"/>
            </w:pPr>
            <w:r>
              <w:t>авансовый платеж</w:t>
            </w:r>
          </w:p>
        </w:tc>
        <w:tc>
          <w:tcPr>
            <w:tcW w:w="624" w:type="dxa"/>
            <w:vMerge w:val="restart"/>
          </w:tcPr>
          <w:p>
            <w:pPr>
              <w:pStyle w:val="5"/>
              <w:jc w:val="center"/>
            </w:pPr>
            <w:r>
              <w:t>предмет</w:t>
            </w:r>
          </w:p>
        </w:tc>
        <w:tc>
          <w:tcPr>
            <w:tcW w:w="1701" w:type="dxa"/>
            <w:vMerge w:val="continue"/>
          </w:tcPr>
          <w:p/>
        </w:tc>
        <w:tc>
          <w:tcPr>
            <w:tcW w:w="2154" w:type="dxa"/>
            <w:vMerge w:val="continue"/>
          </w:tcPr>
          <w:p/>
        </w:tc>
        <w:tc>
          <w:tcPr>
            <w:tcW w:w="1531" w:type="dxa"/>
            <w:vMerge w:val="continue"/>
          </w:tcPr>
          <w:p/>
        </w:tc>
        <w:tc>
          <w:tcPr>
            <w:tcW w:w="737" w:type="dxa"/>
            <w:vMerge w:val="continue"/>
            <w:tcBorders>
              <w:right w:val="nil"/>
            </w:tcBorders>
          </w:tcP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10" w:type="dxa"/>
            <w:vMerge w:val="continue"/>
            <w:tcBorders>
              <w:left w:val="nil"/>
            </w:tcBorders>
          </w:tcPr>
          <w:p/>
        </w:tc>
        <w:tc>
          <w:tcPr>
            <w:tcW w:w="567" w:type="dxa"/>
            <w:vMerge w:val="continue"/>
          </w:tcPr>
          <w:p/>
        </w:tc>
        <w:tc>
          <w:tcPr>
            <w:tcW w:w="567" w:type="dxa"/>
            <w:vMerge w:val="continue"/>
          </w:tcPr>
          <w:p/>
        </w:tc>
        <w:tc>
          <w:tcPr>
            <w:tcW w:w="1020" w:type="dxa"/>
          </w:tcPr>
          <w:p>
            <w:pPr>
              <w:pStyle w:val="5"/>
              <w:jc w:val="center"/>
            </w:pPr>
            <w:r>
              <w:t>процент от общей суммы</w:t>
            </w:r>
          </w:p>
        </w:tc>
        <w:tc>
          <w:tcPr>
            <w:tcW w:w="567" w:type="dxa"/>
          </w:tcPr>
          <w:p>
            <w:pPr>
              <w:pStyle w:val="5"/>
              <w:jc w:val="center"/>
            </w:pPr>
            <w:r>
              <w:t>сумма</w:t>
            </w:r>
          </w:p>
        </w:tc>
        <w:tc>
          <w:tcPr>
            <w:tcW w:w="624" w:type="dxa"/>
            <w:vMerge w:val="continue"/>
          </w:tcPr>
          <w:p/>
        </w:tc>
        <w:tc>
          <w:tcPr>
            <w:tcW w:w="1701" w:type="dxa"/>
            <w:vMerge w:val="continue"/>
          </w:tcPr>
          <w:p/>
        </w:tc>
        <w:tc>
          <w:tcPr>
            <w:tcW w:w="2154" w:type="dxa"/>
            <w:vMerge w:val="continue"/>
          </w:tcPr>
          <w:p/>
        </w:tc>
        <w:tc>
          <w:tcPr>
            <w:tcW w:w="1531" w:type="dxa"/>
            <w:vMerge w:val="continue"/>
          </w:tcPr>
          <w:p/>
        </w:tc>
        <w:tc>
          <w:tcPr>
            <w:tcW w:w="737" w:type="dxa"/>
            <w:vMerge w:val="continue"/>
            <w:tcBorders>
              <w:right w:val="nil"/>
            </w:tcBorders>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10" w:type="dxa"/>
            <w:tcBorders>
              <w:left w:val="nil"/>
            </w:tcBorders>
          </w:tcPr>
          <w:p>
            <w:pPr>
              <w:pStyle w:val="5"/>
              <w:jc w:val="center"/>
            </w:pPr>
            <w:r>
              <w:t>1</w:t>
            </w:r>
          </w:p>
        </w:tc>
        <w:tc>
          <w:tcPr>
            <w:tcW w:w="567" w:type="dxa"/>
          </w:tcPr>
          <w:p>
            <w:pPr>
              <w:pStyle w:val="5"/>
              <w:jc w:val="center"/>
            </w:pPr>
            <w:r>
              <w:t>2</w:t>
            </w:r>
          </w:p>
        </w:tc>
        <w:tc>
          <w:tcPr>
            <w:tcW w:w="567" w:type="dxa"/>
          </w:tcPr>
          <w:p>
            <w:pPr>
              <w:pStyle w:val="5"/>
              <w:jc w:val="center"/>
            </w:pPr>
            <w:r>
              <w:t>3</w:t>
            </w:r>
          </w:p>
        </w:tc>
        <w:tc>
          <w:tcPr>
            <w:tcW w:w="1020" w:type="dxa"/>
          </w:tcPr>
          <w:p>
            <w:pPr>
              <w:pStyle w:val="5"/>
              <w:jc w:val="center"/>
            </w:pPr>
            <w:r>
              <w:t>4</w:t>
            </w:r>
          </w:p>
        </w:tc>
        <w:tc>
          <w:tcPr>
            <w:tcW w:w="567" w:type="dxa"/>
          </w:tcPr>
          <w:p>
            <w:pPr>
              <w:pStyle w:val="5"/>
              <w:jc w:val="center"/>
            </w:pPr>
            <w:r>
              <w:t>5</w:t>
            </w:r>
          </w:p>
        </w:tc>
        <w:tc>
          <w:tcPr>
            <w:tcW w:w="624" w:type="dxa"/>
          </w:tcPr>
          <w:p>
            <w:pPr>
              <w:pStyle w:val="5"/>
              <w:jc w:val="center"/>
            </w:pPr>
            <w:r>
              <w:t>6</w:t>
            </w:r>
          </w:p>
        </w:tc>
        <w:tc>
          <w:tcPr>
            <w:tcW w:w="1701" w:type="dxa"/>
          </w:tcPr>
          <w:p>
            <w:pPr>
              <w:pStyle w:val="5"/>
              <w:jc w:val="center"/>
            </w:pPr>
            <w:r>
              <w:t>8</w:t>
            </w:r>
          </w:p>
        </w:tc>
        <w:tc>
          <w:tcPr>
            <w:tcW w:w="2154" w:type="dxa"/>
          </w:tcPr>
          <w:p>
            <w:pPr>
              <w:pStyle w:val="5"/>
              <w:jc w:val="center"/>
            </w:pPr>
            <w:r>
              <w:t>9</w:t>
            </w:r>
          </w:p>
        </w:tc>
        <w:tc>
          <w:tcPr>
            <w:tcW w:w="1531" w:type="dxa"/>
          </w:tcPr>
          <w:p>
            <w:pPr>
              <w:pStyle w:val="5"/>
              <w:jc w:val="center"/>
            </w:pPr>
            <w:r>
              <w:t>10</w:t>
            </w:r>
          </w:p>
        </w:tc>
        <w:tc>
          <w:tcPr>
            <w:tcW w:w="737" w:type="dxa"/>
            <w:tcBorders>
              <w:right w:val="nil"/>
            </w:tcBorders>
          </w:tcPr>
          <w:p>
            <w:pPr>
              <w:pStyle w:val="5"/>
              <w:jc w:val="center"/>
            </w:pPr>
            <w:r>
              <w:t>11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5"/>
            </w:pPr>
          </w:p>
        </w:tc>
        <w:tc>
          <w:tcPr>
            <w:tcW w:w="567" w:type="dxa"/>
          </w:tcPr>
          <w:p>
            <w:pPr>
              <w:pStyle w:val="5"/>
            </w:pPr>
          </w:p>
        </w:tc>
        <w:tc>
          <w:tcPr>
            <w:tcW w:w="567" w:type="dxa"/>
          </w:tcPr>
          <w:p>
            <w:pPr>
              <w:pStyle w:val="5"/>
            </w:pPr>
          </w:p>
        </w:tc>
        <w:tc>
          <w:tcPr>
            <w:tcW w:w="1020" w:type="dxa"/>
          </w:tcPr>
          <w:p>
            <w:pPr>
              <w:pStyle w:val="5"/>
            </w:pPr>
          </w:p>
        </w:tc>
        <w:tc>
          <w:tcPr>
            <w:tcW w:w="567" w:type="dxa"/>
          </w:tcPr>
          <w:p>
            <w:pPr>
              <w:pStyle w:val="5"/>
            </w:pPr>
          </w:p>
        </w:tc>
        <w:tc>
          <w:tcPr>
            <w:tcW w:w="624" w:type="dxa"/>
          </w:tcPr>
          <w:p>
            <w:pPr>
              <w:pStyle w:val="5"/>
            </w:pPr>
          </w:p>
        </w:tc>
        <w:tc>
          <w:tcPr>
            <w:tcW w:w="1701" w:type="dxa"/>
          </w:tcPr>
          <w:p>
            <w:pPr>
              <w:pStyle w:val="5"/>
            </w:pPr>
          </w:p>
        </w:tc>
        <w:tc>
          <w:tcPr>
            <w:tcW w:w="2154" w:type="dxa"/>
          </w:tcPr>
          <w:p>
            <w:pPr>
              <w:pStyle w:val="5"/>
            </w:pPr>
          </w:p>
        </w:tc>
        <w:tc>
          <w:tcPr>
            <w:tcW w:w="1531" w:type="dxa"/>
          </w:tcPr>
          <w:p>
            <w:pPr>
              <w:pStyle w:val="5"/>
            </w:pPr>
          </w:p>
        </w:tc>
        <w:tc>
          <w:tcPr>
            <w:tcW w:w="737" w:type="dxa"/>
            <w:tcBorders>
              <w:right w:val="nil"/>
            </w:tcBorders>
          </w:tcPr>
          <w:p>
            <w:pPr>
              <w:pStyle w:val="5"/>
            </w:pPr>
          </w:p>
        </w:tc>
      </w:tr>
    </w:tbl>
    <w:p>
      <w:pPr>
        <w:sectPr>
          <w:pgSz w:w="16838" w:h="11905" w:orient="landscape"/>
          <w:pgMar w:top="1701" w:right="1134" w:bottom="850" w:left="1134" w:header="0" w:footer="0" w:gutter="0"/>
          <w:cols w:space="720" w:num="1"/>
        </w:sectPr>
      </w:pPr>
    </w:p>
    <w:p>
      <w:pPr>
        <w:pStyle w:val="5"/>
        <w:jc w:val="both"/>
      </w:pPr>
    </w:p>
    <w:tbl>
      <w:tblPr>
        <w:tblStyle w:val="3"/>
        <w:tblW w:w="0" w:type="auto"/>
        <w:tblInd w:w="0" w:type="dxa"/>
        <w:tblLayout w:type="fixed"/>
        <w:tblCellMar>
          <w:top w:w="102" w:type="dxa"/>
          <w:left w:w="62" w:type="dxa"/>
          <w:bottom w:w="102" w:type="dxa"/>
          <w:right w:w="62" w:type="dxa"/>
        </w:tblCellMar>
      </w:tblPr>
      <w:tblGrid>
        <w:gridCol w:w="8334"/>
        <w:gridCol w:w="680"/>
      </w:tblGrid>
      <w:tr>
        <w:tblPrEx>
          <w:tblCellMar>
            <w:top w:w="102" w:type="dxa"/>
            <w:left w:w="62" w:type="dxa"/>
            <w:bottom w:w="102" w:type="dxa"/>
            <w:right w:w="62" w:type="dxa"/>
          </w:tblCellMar>
        </w:tblPrEx>
        <w:tc>
          <w:tcPr>
            <w:tcW w:w="8334" w:type="dxa"/>
            <w:tcBorders>
              <w:top w:val="nil"/>
              <w:left w:val="nil"/>
              <w:bottom w:val="nil"/>
              <w:right w:val="nil"/>
            </w:tcBorders>
            <w:vAlign w:val="bottom"/>
          </w:tcPr>
          <w:p>
            <w:pPr>
              <w:pStyle w:val="5"/>
              <w:jc w:val="right"/>
            </w:pPr>
            <w:r>
              <w:t>Номер страницы</w:t>
            </w:r>
          </w:p>
        </w:tc>
        <w:tc>
          <w:tcPr>
            <w:tcW w:w="680" w:type="dxa"/>
            <w:tcBorders>
              <w:top w:val="nil"/>
              <w:left w:val="nil"/>
              <w:bottom w:val="single" w:color="auto" w:sz="4" w:space="0"/>
              <w:right w:val="nil"/>
            </w:tcBorders>
          </w:tcPr>
          <w:p>
            <w:pPr>
              <w:pStyle w:val="5"/>
            </w:pPr>
          </w:p>
        </w:tc>
      </w:tr>
      <w:tr>
        <w:tblPrEx>
          <w:tblCellMar>
            <w:top w:w="102" w:type="dxa"/>
            <w:left w:w="62" w:type="dxa"/>
            <w:bottom w:w="102" w:type="dxa"/>
            <w:right w:w="62" w:type="dxa"/>
          </w:tblCellMar>
        </w:tblPrEx>
        <w:tc>
          <w:tcPr>
            <w:tcW w:w="8334" w:type="dxa"/>
            <w:tcBorders>
              <w:top w:val="nil"/>
              <w:left w:val="nil"/>
              <w:bottom w:val="nil"/>
              <w:right w:val="nil"/>
            </w:tcBorders>
            <w:vAlign w:val="bottom"/>
          </w:tcPr>
          <w:p>
            <w:pPr>
              <w:pStyle w:val="5"/>
              <w:jc w:val="right"/>
            </w:pPr>
            <w:r>
              <w:t>Всего страниц</w:t>
            </w:r>
          </w:p>
        </w:tc>
        <w:tc>
          <w:tcPr>
            <w:tcW w:w="680" w:type="dxa"/>
            <w:tcBorders>
              <w:top w:val="single" w:color="auto" w:sz="4" w:space="0"/>
              <w:left w:val="nil"/>
              <w:bottom w:val="single" w:color="auto" w:sz="4" w:space="0"/>
              <w:right w:val="nil"/>
            </w:tcBorders>
          </w:tcPr>
          <w:p>
            <w:pPr>
              <w:pStyle w:val="5"/>
            </w:pPr>
          </w:p>
        </w:tc>
      </w:tr>
    </w:tbl>
    <w:p>
      <w:pPr>
        <w:pStyle w:val="5"/>
        <w:jc w:val="both"/>
      </w:pPr>
    </w:p>
    <w:tbl>
      <w:tblPr>
        <w:tblStyle w:val="3"/>
        <w:tblW w:w="0" w:type="auto"/>
        <w:tblInd w:w="0" w:type="dxa"/>
        <w:tblLayout w:type="fixed"/>
        <w:tblCellMar>
          <w:top w:w="102" w:type="dxa"/>
          <w:left w:w="62" w:type="dxa"/>
          <w:bottom w:w="102" w:type="dxa"/>
          <w:right w:w="62" w:type="dxa"/>
        </w:tblCellMar>
      </w:tblPr>
      <w:tblGrid>
        <w:gridCol w:w="3798"/>
        <w:gridCol w:w="340"/>
        <w:gridCol w:w="1474"/>
        <w:gridCol w:w="340"/>
        <w:gridCol w:w="1191"/>
        <w:gridCol w:w="340"/>
        <w:gridCol w:w="1587"/>
      </w:tblGrid>
      <w:tr>
        <w:tblPrEx>
          <w:tblCellMar>
            <w:top w:w="102" w:type="dxa"/>
            <w:left w:w="62" w:type="dxa"/>
            <w:bottom w:w="102" w:type="dxa"/>
            <w:right w:w="62" w:type="dxa"/>
          </w:tblCellMar>
        </w:tblPrEx>
        <w:tc>
          <w:tcPr>
            <w:tcW w:w="3798" w:type="dxa"/>
            <w:tcBorders>
              <w:top w:val="nil"/>
              <w:left w:val="nil"/>
              <w:bottom w:val="nil"/>
              <w:right w:val="nil"/>
            </w:tcBorders>
            <w:vAlign w:val="bottom"/>
          </w:tcPr>
          <w:p>
            <w:pPr>
              <w:pStyle w:val="5"/>
            </w:pPr>
            <w:r>
              <w:t>Руководитель органа Федерального казначейства (уполномоченное лицо)</w:t>
            </w:r>
          </w:p>
        </w:tc>
        <w:tc>
          <w:tcPr>
            <w:tcW w:w="340" w:type="dxa"/>
            <w:tcBorders>
              <w:top w:val="nil"/>
              <w:left w:val="nil"/>
              <w:bottom w:val="nil"/>
              <w:right w:val="nil"/>
            </w:tcBorders>
          </w:tcPr>
          <w:p>
            <w:pPr>
              <w:pStyle w:val="5"/>
            </w:pPr>
          </w:p>
        </w:tc>
        <w:tc>
          <w:tcPr>
            <w:tcW w:w="1474" w:type="dxa"/>
            <w:tcBorders>
              <w:top w:val="nil"/>
              <w:left w:val="nil"/>
              <w:bottom w:val="single" w:color="auto" w:sz="4" w:space="0"/>
              <w:right w:val="nil"/>
            </w:tcBorders>
          </w:tcPr>
          <w:p>
            <w:pPr>
              <w:pStyle w:val="5"/>
            </w:pPr>
          </w:p>
        </w:tc>
        <w:tc>
          <w:tcPr>
            <w:tcW w:w="340" w:type="dxa"/>
            <w:tcBorders>
              <w:top w:val="nil"/>
              <w:left w:val="nil"/>
              <w:bottom w:val="nil"/>
              <w:right w:val="nil"/>
            </w:tcBorders>
          </w:tcPr>
          <w:p>
            <w:pPr>
              <w:pStyle w:val="5"/>
            </w:pPr>
          </w:p>
        </w:tc>
        <w:tc>
          <w:tcPr>
            <w:tcW w:w="1191" w:type="dxa"/>
            <w:tcBorders>
              <w:top w:val="nil"/>
              <w:left w:val="nil"/>
              <w:bottom w:val="single" w:color="auto" w:sz="4" w:space="0"/>
              <w:right w:val="nil"/>
            </w:tcBorders>
          </w:tcPr>
          <w:p>
            <w:pPr>
              <w:pStyle w:val="5"/>
            </w:pPr>
          </w:p>
        </w:tc>
        <w:tc>
          <w:tcPr>
            <w:tcW w:w="340" w:type="dxa"/>
            <w:tcBorders>
              <w:top w:val="nil"/>
              <w:left w:val="nil"/>
              <w:bottom w:val="nil"/>
              <w:right w:val="nil"/>
            </w:tcBorders>
          </w:tcPr>
          <w:p>
            <w:pPr>
              <w:pStyle w:val="5"/>
            </w:pPr>
          </w:p>
        </w:tc>
        <w:tc>
          <w:tcPr>
            <w:tcW w:w="1587" w:type="dxa"/>
            <w:tcBorders>
              <w:top w:val="nil"/>
              <w:left w:val="nil"/>
              <w:bottom w:val="single" w:color="auto" w:sz="4" w:space="0"/>
              <w:right w:val="nil"/>
            </w:tcBorders>
          </w:tcPr>
          <w:p>
            <w:pPr>
              <w:pStyle w:val="5"/>
            </w:pPr>
          </w:p>
        </w:tc>
      </w:tr>
      <w:tr>
        <w:tblPrEx>
          <w:tblCellMar>
            <w:top w:w="102" w:type="dxa"/>
            <w:left w:w="62" w:type="dxa"/>
            <w:bottom w:w="102" w:type="dxa"/>
            <w:right w:w="62" w:type="dxa"/>
          </w:tblCellMar>
        </w:tblPrEx>
        <w:tc>
          <w:tcPr>
            <w:tcW w:w="3798"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1474" w:type="dxa"/>
            <w:tcBorders>
              <w:top w:val="single" w:color="auto" w:sz="4" w:space="0"/>
              <w:left w:val="nil"/>
              <w:bottom w:val="nil"/>
              <w:right w:val="nil"/>
            </w:tcBorders>
          </w:tcPr>
          <w:p>
            <w:pPr>
              <w:pStyle w:val="5"/>
              <w:jc w:val="center"/>
            </w:pPr>
            <w:r>
              <w:t>(должность)</w:t>
            </w:r>
          </w:p>
        </w:tc>
        <w:tc>
          <w:tcPr>
            <w:tcW w:w="340" w:type="dxa"/>
            <w:tcBorders>
              <w:top w:val="nil"/>
              <w:left w:val="nil"/>
              <w:bottom w:val="nil"/>
              <w:right w:val="nil"/>
            </w:tcBorders>
          </w:tcPr>
          <w:p>
            <w:pPr>
              <w:pStyle w:val="5"/>
            </w:pPr>
          </w:p>
        </w:tc>
        <w:tc>
          <w:tcPr>
            <w:tcW w:w="1191" w:type="dxa"/>
            <w:tcBorders>
              <w:top w:val="single" w:color="auto" w:sz="4" w:space="0"/>
              <w:left w:val="nil"/>
              <w:bottom w:val="nil"/>
              <w:right w:val="nil"/>
            </w:tcBorders>
          </w:tcPr>
          <w:p>
            <w:pPr>
              <w:pStyle w:val="5"/>
              <w:jc w:val="center"/>
            </w:pPr>
            <w:r>
              <w:t>(подпись)</w:t>
            </w:r>
          </w:p>
        </w:tc>
        <w:tc>
          <w:tcPr>
            <w:tcW w:w="340" w:type="dxa"/>
            <w:tcBorders>
              <w:top w:val="nil"/>
              <w:left w:val="nil"/>
              <w:bottom w:val="nil"/>
              <w:right w:val="nil"/>
            </w:tcBorders>
          </w:tcPr>
          <w:p>
            <w:pPr>
              <w:pStyle w:val="5"/>
            </w:pPr>
          </w:p>
        </w:tc>
        <w:tc>
          <w:tcPr>
            <w:tcW w:w="1587" w:type="dxa"/>
            <w:tcBorders>
              <w:top w:val="single" w:color="auto" w:sz="4" w:space="0"/>
              <w:left w:val="nil"/>
              <w:bottom w:val="nil"/>
              <w:right w:val="nil"/>
            </w:tcBorders>
          </w:tcPr>
          <w:p>
            <w:pPr>
              <w:pStyle w:val="5"/>
              <w:jc w:val="center"/>
            </w:pPr>
            <w:r>
              <w:t>(расшифровка подписи)</w:t>
            </w:r>
          </w:p>
        </w:tc>
      </w:tr>
      <w:tr>
        <w:tblPrEx>
          <w:tblCellMar>
            <w:top w:w="102" w:type="dxa"/>
            <w:left w:w="62" w:type="dxa"/>
            <w:bottom w:w="102" w:type="dxa"/>
            <w:right w:w="62" w:type="dxa"/>
          </w:tblCellMar>
        </w:tblPrEx>
        <w:tc>
          <w:tcPr>
            <w:tcW w:w="3798" w:type="dxa"/>
            <w:tcBorders>
              <w:top w:val="nil"/>
              <w:left w:val="nil"/>
              <w:bottom w:val="nil"/>
              <w:right w:val="nil"/>
            </w:tcBorders>
          </w:tcPr>
          <w:p>
            <w:pPr>
              <w:pStyle w:val="5"/>
            </w:pPr>
            <w:r>
              <w:t>"__" _____ 20__ г.</w:t>
            </w:r>
          </w:p>
        </w:tc>
        <w:tc>
          <w:tcPr>
            <w:tcW w:w="340" w:type="dxa"/>
            <w:tcBorders>
              <w:top w:val="nil"/>
              <w:left w:val="nil"/>
              <w:bottom w:val="nil"/>
              <w:right w:val="nil"/>
            </w:tcBorders>
          </w:tcPr>
          <w:p>
            <w:pPr>
              <w:pStyle w:val="5"/>
            </w:pPr>
          </w:p>
        </w:tc>
        <w:tc>
          <w:tcPr>
            <w:tcW w:w="1474"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119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1587" w:type="dxa"/>
            <w:tcBorders>
              <w:top w:val="nil"/>
              <w:left w:val="nil"/>
              <w:bottom w:val="nil"/>
              <w:right w:val="nil"/>
            </w:tcBorders>
          </w:tcPr>
          <w:p>
            <w:pPr>
              <w:pStyle w:val="5"/>
            </w:pPr>
          </w:p>
        </w:tc>
      </w:tr>
    </w:tbl>
    <w:p>
      <w:pPr>
        <w:pStyle w:val="5"/>
        <w:jc w:val="both"/>
      </w:pPr>
    </w:p>
    <w:p>
      <w:pPr>
        <w:pStyle w:val="5"/>
        <w:jc w:val="both"/>
      </w:pPr>
    </w:p>
    <w:p>
      <w:pPr>
        <w:pStyle w:val="5"/>
        <w:jc w:val="both"/>
      </w:pPr>
    </w:p>
    <w:p>
      <w:pPr>
        <w:pStyle w:val="5"/>
        <w:jc w:val="both"/>
      </w:pPr>
    </w:p>
    <w:p>
      <w:pPr>
        <w:pStyle w:val="5"/>
        <w:jc w:val="both"/>
      </w:pPr>
    </w:p>
    <w:p>
      <w:pPr>
        <w:pStyle w:val="5"/>
        <w:jc w:val="right"/>
        <w:outlineLvl w:val="1"/>
      </w:pPr>
      <w:r>
        <w:t>Приложение N 2</w:t>
      </w:r>
    </w:p>
    <w:p>
      <w:pPr>
        <w:pStyle w:val="5"/>
        <w:jc w:val="right"/>
      </w:pPr>
      <w:r>
        <w:t>к Порядку санкционирования оплаты</w:t>
      </w:r>
    </w:p>
    <w:p>
      <w:pPr>
        <w:pStyle w:val="5"/>
        <w:jc w:val="right"/>
      </w:pPr>
      <w:r>
        <w:t>денежных обязательств получателей</w:t>
      </w:r>
    </w:p>
    <w:p>
      <w:pPr>
        <w:pStyle w:val="5"/>
        <w:jc w:val="right"/>
      </w:pPr>
      <w:r>
        <w:t>средств местного бюджета</w:t>
      </w:r>
    </w:p>
    <w:p>
      <w:pPr>
        <w:pStyle w:val="5"/>
        <w:jc w:val="right"/>
      </w:pPr>
      <w:r>
        <w:t>и оплаты денежных обязательств,</w:t>
      </w:r>
    </w:p>
    <w:p>
      <w:pPr>
        <w:pStyle w:val="5"/>
        <w:jc w:val="right"/>
      </w:pPr>
      <w:r>
        <w:t>подлежащих исполнению за счет</w:t>
      </w:r>
    </w:p>
    <w:p>
      <w:pPr>
        <w:pStyle w:val="5"/>
        <w:jc w:val="right"/>
      </w:pPr>
      <w:r>
        <w:t>бюджетных ассигнований по источникам</w:t>
      </w:r>
    </w:p>
    <w:p>
      <w:pPr>
        <w:pStyle w:val="5"/>
        <w:jc w:val="right"/>
      </w:pPr>
      <w:r>
        <w:t>финансирования дефицита местного</w:t>
      </w:r>
    </w:p>
    <w:p>
      <w:pPr>
        <w:pStyle w:val="5"/>
        <w:jc w:val="right"/>
        <w:rPr>
          <w:rFonts w:hint="default"/>
          <w:lang w:val="ru-RU"/>
        </w:rPr>
      </w:pPr>
      <w:r>
        <w:t xml:space="preserve">бюджета, утвержденному </w:t>
      </w:r>
      <w:r>
        <w:rPr>
          <w:lang w:val="ru-RU"/>
        </w:rPr>
        <w:t>постановлением</w:t>
      </w:r>
    </w:p>
    <w:p>
      <w:pPr>
        <w:pStyle w:val="5"/>
        <w:jc w:val="right"/>
        <w:rPr>
          <w:rFonts w:hint="default"/>
          <w:lang w:val="ru-RU"/>
        </w:rPr>
      </w:pPr>
      <w:r>
        <w:t xml:space="preserve">от </w:t>
      </w:r>
      <w:r>
        <w:rPr>
          <w:rFonts w:hint="default"/>
          <w:lang w:val="ru-RU"/>
        </w:rPr>
        <w:t>17.01.</w:t>
      </w:r>
      <w:r>
        <w:t>202</w:t>
      </w:r>
      <w:r>
        <w:rPr>
          <w:rFonts w:hint="default"/>
          <w:lang w:val="ru-RU"/>
        </w:rPr>
        <w:t>4</w:t>
      </w:r>
      <w:r>
        <w:t xml:space="preserve"> №</w:t>
      </w:r>
      <w:r>
        <w:rPr>
          <w:rFonts w:hint="default"/>
          <w:lang w:val="ru-RU"/>
        </w:rPr>
        <w:t>4</w:t>
      </w:r>
      <w:bookmarkStart w:id="20" w:name="_GoBack"/>
      <w:bookmarkEnd w:id="20"/>
    </w:p>
    <w:p>
      <w:pPr>
        <w:pStyle w:val="5"/>
        <w:jc w:val="both"/>
      </w:pPr>
    </w:p>
    <w:tbl>
      <w:tblPr>
        <w:tblStyle w:val="3"/>
        <w:tblW w:w="0" w:type="auto"/>
        <w:tblInd w:w="0" w:type="dxa"/>
        <w:tblLayout w:type="fixed"/>
        <w:tblCellMar>
          <w:top w:w="102" w:type="dxa"/>
          <w:left w:w="62" w:type="dxa"/>
          <w:bottom w:w="102" w:type="dxa"/>
          <w:right w:w="62" w:type="dxa"/>
        </w:tblCellMar>
      </w:tblPr>
      <w:tblGrid>
        <w:gridCol w:w="9071"/>
      </w:tblGrid>
      <w:tr>
        <w:tblPrEx>
          <w:tblCellMar>
            <w:top w:w="102" w:type="dxa"/>
            <w:left w:w="62" w:type="dxa"/>
            <w:bottom w:w="102" w:type="dxa"/>
            <w:right w:w="62" w:type="dxa"/>
          </w:tblCellMar>
        </w:tblPrEx>
        <w:tc>
          <w:tcPr>
            <w:tcW w:w="9071" w:type="dxa"/>
            <w:tcBorders>
              <w:top w:val="nil"/>
              <w:left w:val="nil"/>
              <w:bottom w:val="nil"/>
              <w:right w:val="nil"/>
            </w:tcBorders>
          </w:tcPr>
          <w:p>
            <w:pPr>
              <w:pStyle w:val="5"/>
              <w:jc w:val="center"/>
            </w:pPr>
            <w:bookmarkStart w:id="19" w:name="P299"/>
            <w:bookmarkEnd w:id="19"/>
            <w:r>
              <w:t>УВЕДОМЛЕНИЕ N _____</w:t>
            </w:r>
          </w:p>
          <w:p>
            <w:pPr>
              <w:pStyle w:val="5"/>
              <w:jc w:val="center"/>
            </w:pPr>
            <w:r>
              <w:t>о нарушении сроков внесения и размеров арендной платы</w:t>
            </w:r>
          </w:p>
        </w:tc>
      </w:tr>
    </w:tbl>
    <w:p>
      <w:pPr>
        <w:pStyle w:val="5"/>
        <w:jc w:val="both"/>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061"/>
        <w:gridCol w:w="340"/>
        <w:gridCol w:w="2324"/>
        <w:gridCol w:w="340"/>
        <w:gridCol w:w="1928"/>
        <w:gridCol w:w="1020"/>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725" w:type="dxa"/>
            <w:gridSpan w:val="3"/>
            <w:vMerge w:val="restart"/>
            <w:tcBorders>
              <w:top w:val="nil"/>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tcPr>
          <w:p>
            <w:pPr>
              <w:pStyle w:val="5"/>
            </w:pPr>
          </w:p>
        </w:tc>
        <w:tc>
          <w:tcPr>
            <w:tcW w:w="1020" w:type="dxa"/>
            <w:tcBorders>
              <w:top w:val="single" w:color="auto" w:sz="4" w:space="0"/>
              <w:left w:val="single" w:color="auto" w:sz="4" w:space="0"/>
              <w:bottom w:val="single" w:color="auto" w:sz="4" w:space="0"/>
              <w:right w:val="single" w:color="auto" w:sz="4" w:space="0"/>
            </w:tcBorders>
            <w:vAlign w:val="bottom"/>
          </w:tcPr>
          <w:p>
            <w:pPr>
              <w:pStyle w:val="5"/>
              <w:jc w:val="center"/>
            </w:pPr>
            <w:r>
              <w:t>Коды</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725" w:type="dxa"/>
            <w:gridSpan w:val="3"/>
            <w:vMerge w:val="continue"/>
            <w:tcBorders>
              <w:top w:val="nil"/>
              <w:left w:val="nil"/>
              <w:bottom w:val="nil"/>
              <w:right w:val="nil"/>
            </w:tcBorders>
          </w:tc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Форма по КФД</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jc w:val="center"/>
            </w:pPr>
            <w:r>
              <w:t>0504714</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2324" w:type="dxa"/>
            <w:tcBorders>
              <w:top w:val="nil"/>
              <w:left w:val="nil"/>
              <w:bottom w:val="nil"/>
              <w:right w:val="nil"/>
            </w:tcBorders>
            <w:vAlign w:val="bottom"/>
          </w:tcPr>
          <w:p>
            <w:pPr>
              <w:pStyle w:val="5"/>
              <w:jc w:val="center"/>
            </w:pPr>
            <w:r>
              <w:t>от "__" _____ 20__ г.</w:t>
            </w: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Дата</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Наименование органа Федерального казначейства</w:t>
            </w:r>
          </w:p>
        </w:tc>
        <w:tc>
          <w:tcPr>
            <w:tcW w:w="340" w:type="dxa"/>
            <w:tcBorders>
              <w:top w:val="nil"/>
              <w:left w:val="nil"/>
              <w:bottom w:val="nil"/>
              <w:right w:val="nil"/>
            </w:tcBorders>
          </w:tcPr>
          <w:p>
            <w:pPr>
              <w:pStyle w:val="5"/>
            </w:pPr>
          </w:p>
        </w:tc>
        <w:tc>
          <w:tcPr>
            <w:tcW w:w="2324" w:type="dxa"/>
            <w:tcBorders>
              <w:top w:val="nil"/>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КОФК</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vMerge w:val="restart"/>
            <w:tcBorders>
              <w:top w:val="nil"/>
              <w:left w:val="nil"/>
              <w:bottom w:val="nil"/>
              <w:right w:val="nil"/>
            </w:tcBorders>
          </w:tcPr>
          <w:p>
            <w:pPr>
              <w:pStyle w:val="5"/>
            </w:pPr>
            <w:r>
              <w:t>Главный распорядитель (распорядитель) бюджетных средств</w:t>
            </w:r>
          </w:p>
        </w:tc>
        <w:tc>
          <w:tcPr>
            <w:tcW w:w="340" w:type="dxa"/>
            <w:vMerge w:val="restart"/>
            <w:tcBorders>
              <w:top w:val="nil"/>
              <w:left w:val="nil"/>
              <w:bottom w:val="nil"/>
              <w:right w:val="nil"/>
            </w:tcBorders>
          </w:tcPr>
          <w:p>
            <w:pPr>
              <w:pStyle w:val="5"/>
            </w:pPr>
          </w:p>
        </w:tc>
        <w:tc>
          <w:tcPr>
            <w:tcW w:w="2324" w:type="dxa"/>
            <w:tcBorders>
              <w:top w:val="single" w:color="auto" w:sz="4" w:space="0"/>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Глава по БК</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vMerge w:val="continue"/>
            <w:tcBorders>
              <w:top w:val="nil"/>
              <w:left w:val="nil"/>
              <w:bottom w:val="nil"/>
              <w:right w:val="nil"/>
            </w:tcBorders>
          </w:tcPr>
          <w:p/>
        </w:tc>
        <w:tc>
          <w:tcPr>
            <w:tcW w:w="340" w:type="dxa"/>
            <w:vMerge w:val="continue"/>
            <w:tcBorders>
              <w:top w:val="nil"/>
              <w:left w:val="nil"/>
              <w:bottom w:val="nil"/>
              <w:right w:val="nil"/>
            </w:tcBorders>
          </w:tcPr>
          <w:p/>
        </w:tc>
        <w:tc>
          <w:tcPr>
            <w:tcW w:w="2324" w:type="dxa"/>
            <w:tcBorders>
              <w:top w:val="nil"/>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Сводному реестру</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Получатель бюджетных средств</w:t>
            </w:r>
          </w:p>
        </w:tc>
        <w:tc>
          <w:tcPr>
            <w:tcW w:w="340" w:type="dxa"/>
            <w:tcBorders>
              <w:top w:val="nil"/>
              <w:left w:val="nil"/>
              <w:bottom w:val="nil"/>
              <w:right w:val="nil"/>
            </w:tcBorders>
          </w:tcPr>
          <w:p>
            <w:pPr>
              <w:pStyle w:val="5"/>
            </w:pPr>
          </w:p>
        </w:tc>
        <w:tc>
          <w:tcPr>
            <w:tcW w:w="2324" w:type="dxa"/>
            <w:tcBorders>
              <w:top w:val="single" w:color="auto" w:sz="4" w:space="0"/>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Сводному реестру</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2324" w:type="dxa"/>
            <w:tcBorders>
              <w:top w:val="single" w:color="auto" w:sz="4" w:space="0"/>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Номер лицевого счета получателя</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Наименование бюджета</w:t>
            </w:r>
          </w:p>
        </w:tc>
        <w:tc>
          <w:tcPr>
            <w:tcW w:w="340" w:type="dxa"/>
            <w:tcBorders>
              <w:top w:val="nil"/>
              <w:left w:val="nil"/>
              <w:bottom w:val="nil"/>
              <w:right w:val="nil"/>
            </w:tcBorders>
          </w:tcPr>
          <w:p>
            <w:pPr>
              <w:pStyle w:val="5"/>
            </w:pPr>
          </w:p>
        </w:tc>
        <w:tc>
          <w:tcPr>
            <w:tcW w:w="2324" w:type="dxa"/>
            <w:tcBorders>
              <w:top w:val="nil"/>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pP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vAlign w:val="bottom"/>
          </w:tcPr>
          <w:p>
            <w:pPr>
              <w:pStyle w:val="5"/>
            </w:pPr>
            <w:r>
              <w:t>Финансовый орган</w:t>
            </w:r>
          </w:p>
        </w:tc>
        <w:tc>
          <w:tcPr>
            <w:tcW w:w="340" w:type="dxa"/>
            <w:tcBorders>
              <w:top w:val="nil"/>
              <w:left w:val="nil"/>
              <w:bottom w:val="nil"/>
              <w:right w:val="nil"/>
            </w:tcBorders>
          </w:tcPr>
          <w:p>
            <w:pPr>
              <w:pStyle w:val="5"/>
            </w:pPr>
          </w:p>
        </w:tc>
        <w:tc>
          <w:tcPr>
            <w:tcW w:w="2324" w:type="dxa"/>
            <w:tcBorders>
              <w:top w:val="single" w:color="auto" w:sz="4" w:space="0"/>
              <w:left w:val="nil"/>
              <w:bottom w:val="single" w:color="auto" w:sz="4" w:space="0"/>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pP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061"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2324" w:type="dxa"/>
            <w:tcBorders>
              <w:top w:val="single" w:color="auto" w:sz="4" w:space="0"/>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Учетный номер обязательства</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5725" w:type="dxa"/>
            <w:gridSpan w:val="3"/>
            <w:tcBorders>
              <w:top w:val="nil"/>
              <w:left w:val="nil"/>
              <w:bottom w:val="nil"/>
              <w:right w:val="nil"/>
            </w:tcBorders>
          </w:tcPr>
          <w:p>
            <w:pPr>
              <w:pStyle w:val="5"/>
            </w:pPr>
            <w:r>
              <w:t>Единица измерения: руб. (с точностью до второго десятичного знака)</w:t>
            </w:r>
          </w:p>
        </w:tc>
        <w:tc>
          <w:tcPr>
            <w:tcW w:w="340" w:type="dxa"/>
            <w:tcBorders>
              <w:top w:val="nil"/>
              <w:left w:val="nil"/>
              <w:bottom w:val="nil"/>
              <w:right w:val="nil"/>
            </w:tcBorders>
          </w:tcPr>
          <w:p>
            <w:pPr>
              <w:pStyle w:val="5"/>
            </w:pPr>
          </w:p>
        </w:tc>
        <w:tc>
          <w:tcPr>
            <w:tcW w:w="1928" w:type="dxa"/>
            <w:tcBorders>
              <w:top w:val="nil"/>
              <w:left w:val="nil"/>
              <w:bottom w:val="nil"/>
              <w:right w:val="single" w:color="auto" w:sz="4" w:space="0"/>
            </w:tcBorders>
            <w:vAlign w:val="center"/>
          </w:tcPr>
          <w:p>
            <w:pPr>
              <w:pStyle w:val="5"/>
              <w:jc w:val="right"/>
            </w:pPr>
            <w:r>
              <w:t>по ОКЕИ</w:t>
            </w:r>
          </w:p>
        </w:tc>
        <w:tc>
          <w:tcPr>
            <w:tcW w:w="1020" w:type="dxa"/>
            <w:tcBorders>
              <w:top w:val="single" w:color="auto" w:sz="4" w:space="0"/>
              <w:left w:val="single" w:color="auto" w:sz="4" w:space="0"/>
              <w:bottom w:val="single" w:color="auto" w:sz="4" w:space="0"/>
              <w:right w:val="single" w:color="auto" w:sz="4" w:space="0"/>
            </w:tcBorders>
            <w:vAlign w:val="center"/>
          </w:tcPr>
          <w:p>
            <w:pPr>
              <w:pStyle w:val="5"/>
              <w:jc w:val="center"/>
            </w:pPr>
            <w:r>
              <w:fldChar w:fldCharType="begin"/>
            </w:r>
            <w:r>
              <w:instrText xml:space="preserve"> HYPERLINK "consultantplus://offline/ref=B8C358CABE34CB16428F5AB6922F81A28CAE010818502096EC042FB4A0E37402F8F59685C3C3EAFFD8B133885151B427B5C1BE33CA32E5A2k6x5E" </w:instrText>
            </w:r>
            <w:r>
              <w:fldChar w:fldCharType="separate"/>
            </w:r>
            <w:r>
              <w:rPr>
                <w:color w:val="0000FF"/>
              </w:rPr>
              <w:t>383</w:t>
            </w:r>
            <w:r>
              <w:rPr>
                <w:color w:val="0000FF"/>
              </w:rPr>
              <w:fldChar w:fldCharType="end"/>
            </w:r>
          </w:p>
        </w:tc>
      </w:tr>
    </w:tbl>
    <w:p>
      <w:pPr>
        <w:pStyle w:val="5"/>
        <w:jc w:val="both"/>
      </w:pP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624"/>
        <w:gridCol w:w="680"/>
        <w:gridCol w:w="1474"/>
        <w:gridCol w:w="1077"/>
        <w:gridCol w:w="1134"/>
        <w:gridCol w:w="1304"/>
        <w:gridCol w:w="1871"/>
        <w:gridCol w:w="8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989" w:type="dxa"/>
            <w:gridSpan w:val="5"/>
            <w:tcBorders>
              <w:left w:val="nil"/>
            </w:tcBorders>
          </w:tcPr>
          <w:p>
            <w:pPr>
              <w:pStyle w:val="5"/>
              <w:jc w:val="center"/>
            </w:pPr>
            <w:r>
              <w:t>Договор аренды</w:t>
            </w:r>
          </w:p>
        </w:tc>
        <w:tc>
          <w:tcPr>
            <w:tcW w:w="1304" w:type="dxa"/>
            <w:vMerge w:val="restart"/>
          </w:tcPr>
          <w:p>
            <w:pPr>
              <w:pStyle w:val="5"/>
              <w:jc w:val="center"/>
            </w:pPr>
            <w:r>
              <w:t>Фактическая дата внесения арендной платы</w:t>
            </w:r>
          </w:p>
        </w:tc>
        <w:tc>
          <w:tcPr>
            <w:tcW w:w="1871" w:type="dxa"/>
            <w:vMerge w:val="restart"/>
          </w:tcPr>
          <w:p>
            <w:pPr>
              <w:pStyle w:val="5"/>
              <w:jc w:val="center"/>
            </w:pPr>
            <w:r>
              <w:t>Сумма превышения размера арендной платы, установленной договором</w:t>
            </w:r>
          </w:p>
        </w:tc>
        <w:tc>
          <w:tcPr>
            <w:tcW w:w="850" w:type="dxa"/>
            <w:vMerge w:val="restart"/>
            <w:tcBorders>
              <w:right w:val="nil"/>
            </w:tcBorders>
          </w:tcPr>
          <w:p>
            <w:pPr>
              <w:pStyle w:val="5"/>
              <w:jc w:val="center"/>
            </w:pPr>
            <w:r>
              <w:t>Примечание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624" w:type="dxa"/>
            <w:tcBorders>
              <w:left w:val="nil"/>
            </w:tcBorders>
          </w:tcPr>
          <w:p>
            <w:pPr>
              <w:pStyle w:val="5"/>
              <w:jc w:val="center"/>
            </w:pPr>
            <w:r>
              <w:t>номер</w:t>
            </w:r>
          </w:p>
        </w:tc>
        <w:tc>
          <w:tcPr>
            <w:tcW w:w="680" w:type="dxa"/>
          </w:tcPr>
          <w:p>
            <w:pPr>
              <w:pStyle w:val="5"/>
              <w:jc w:val="center"/>
            </w:pPr>
            <w:r>
              <w:t>дата</w:t>
            </w:r>
          </w:p>
        </w:tc>
        <w:tc>
          <w:tcPr>
            <w:tcW w:w="1474" w:type="dxa"/>
          </w:tcPr>
          <w:p>
            <w:pPr>
              <w:pStyle w:val="5"/>
              <w:jc w:val="center"/>
            </w:pPr>
            <w:r>
              <w:t>периодичность внесения арендной платы</w:t>
            </w:r>
          </w:p>
        </w:tc>
        <w:tc>
          <w:tcPr>
            <w:tcW w:w="1077" w:type="dxa"/>
          </w:tcPr>
          <w:p>
            <w:pPr>
              <w:pStyle w:val="5"/>
              <w:jc w:val="center"/>
            </w:pPr>
            <w:r>
              <w:t>срок внесения арендной платы</w:t>
            </w:r>
          </w:p>
        </w:tc>
        <w:tc>
          <w:tcPr>
            <w:tcW w:w="1134" w:type="dxa"/>
          </w:tcPr>
          <w:p>
            <w:pPr>
              <w:pStyle w:val="5"/>
              <w:jc w:val="center"/>
            </w:pPr>
            <w:r>
              <w:t>сумма арендной платы за период</w:t>
            </w:r>
          </w:p>
        </w:tc>
        <w:tc>
          <w:tcPr>
            <w:tcW w:w="1304" w:type="dxa"/>
            <w:vMerge w:val="continue"/>
          </w:tcPr>
          <w:p/>
        </w:tc>
        <w:tc>
          <w:tcPr>
            <w:tcW w:w="1871" w:type="dxa"/>
            <w:vMerge w:val="continue"/>
          </w:tcPr>
          <w:p/>
        </w:tc>
        <w:tc>
          <w:tcPr>
            <w:tcW w:w="850" w:type="dxa"/>
            <w:vMerge w:val="continue"/>
            <w:tcBorders>
              <w:right w:val="nil"/>
            </w:tcBorders>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624" w:type="dxa"/>
            <w:tcBorders>
              <w:left w:val="nil"/>
            </w:tcBorders>
          </w:tcPr>
          <w:p>
            <w:pPr>
              <w:pStyle w:val="5"/>
              <w:jc w:val="center"/>
            </w:pPr>
            <w:r>
              <w:t>1</w:t>
            </w:r>
          </w:p>
        </w:tc>
        <w:tc>
          <w:tcPr>
            <w:tcW w:w="680" w:type="dxa"/>
          </w:tcPr>
          <w:p>
            <w:pPr>
              <w:pStyle w:val="5"/>
              <w:jc w:val="center"/>
            </w:pPr>
            <w:r>
              <w:t>2</w:t>
            </w:r>
          </w:p>
        </w:tc>
        <w:tc>
          <w:tcPr>
            <w:tcW w:w="1474" w:type="dxa"/>
          </w:tcPr>
          <w:p>
            <w:pPr>
              <w:pStyle w:val="5"/>
              <w:jc w:val="center"/>
            </w:pPr>
            <w:r>
              <w:t>3</w:t>
            </w:r>
          </w:p>
        </w:tc>
        <w:tc>
          <w:tcPr>
            <w:tcW w:w="1077" w:type="dxa"/>
          </w:tcPr>
          <w:p>
            <w:pPr>
              <w:pStyle w:val="5"/>
              <w:jc w:val="center"/>
            </w:pPr>
            <w:r>
              <w:t>4</w:t>
            </w:r>
          </w:p>
        </w:tc>
        <w:tc>
          <w:tcPr>
            <w:tcW w:w="1134" w:type="dxa"/>
          </w:tcPr>
          <w:p>
            <w:pPr>
              <w:pStyle w:val="5"/>
              <w:jc w:val="center"/>
            </w:pPr>
            <w:r>
              <w:t>5</w:t>
            </w:r>
          </w:p>
        </w:tc>
        <w:tc>
          <w:tcPr>
            <w:tcW w:w="1304" w:type="dxa"/>
          </w:tcPr>
          <w:p>
            <w:pPr>
              <w:pStyle w:val="5"/>
              <w:jc w:val="center"/>
            </w:pPr>
            <w:r>
              <w:t>6</w:t>
            </w:r>
          </w:p>
        </w:tc>
        <w:tc>
          <w:tcPr>
            <w:tcW w:w="1871" w:type="dxa"/>
          </w:tcPr>
          <w:p>
            <w:pPr>
              <w:pStyle w:val="5"/>
              <w:jc w:val="center"/>
            </w:pPr>
            <w:r>
              <w:t>7</w:t>
            </w:r>
          </w:p>
        </w:tc>
        <w:tc>
          <w:tcPr>
            <w:tcW w:w="850" w:type="dxa"/>
            <w:tcBorders>
              <w:right w:val="nil"/>
            </w:tcBorders>
          </w:tcPr>
          <w:p>
            <w:pPr>
              <w:pStyle w:val="5"/>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24" w:type="dxa"/>
          </w:tcPr>
          <w:p>
            <w:pPr>
              <w:pStyle w:val="5"/>
            </w:pPr>
          </w:p>
        </w:tc>
        <w:tc>
          <w:tcPr>
            <w:tcW w:w="680" w:type="dxa"/>
          </w:tcPr>
          <w:p>
            <w:pPr>
              <w:pStyle w:val="5"/>
            </w:pPr>
          </w:p>
        </w:tc>
        <w:tc>
          <w:tcPr>
            <w:tcW w:w="1474" w:type="dxa"/>
          </w:tcPr>
          <w:p>
            <w:pPr>
              <w:pStyle w:val="5"/>
            </w:pPr>
          </w:p>
        </w:tc>
        <w:tc>
          <w:tcPr>
            <w:tcW w:w="1077" w:type="dxa"/>
          </w:tcPr>
          <w:p>
            <w:pPr>
              <w:pStyle w:val="5"/>
            </w:pPr>
          </w:p>
        </w:tc>
        <w:tc>
          <w:tcPr>
            <w:tcW w:w="1134" w:type="dxa"/>
          </w:tcPr>
          <w:p>
            <w:pPr>
              <w:pStyle w:val="5"/>
            </w:pPr>
          </w:p>
        </w:tc>
        <w:tc>
          <w:tcPr>
            <w:tcW w:w="1304" w:type="dxa"/>
          </w:tcPr>
          <w:p>
            <w:pPr>
              <w:pStyle w:val="5"/>
            </w:pPr>
          </w:p>
        </w:tc>
        <w:tc>
          <w:tcPr>
            <w:tcW w:w="1871" w:type="dxa"/>
          </w:tcPr>
          <w:p>
            <w:pPr>
              <w:pStyle w:val="5"/>
            </w:pPr>
          </w:p>
        </w:tc>
        <w:tc>
          <w:tcPr>
            <w:tcW w:w="850" w:type="dxa"/>
          </w:tcPr>
          <w:p>
            <w:pPr>
              <w:pStyle w:val="5"/>
            </w:pPr>
          </w:p>
        </w:tc>
      </w:tr>
    </w:tbl>
    <w:p>
      <w:pPr>
        <w:pStyle w:val="5"/>
        <w:jc w:val="both"/>
      </w:pPr>
    </w:p>
    <w:tbl>
      <w:tblPr>
        <w:tblStyle w:val="3"/>
        <w:tblW w:w="0" w:type="auto"/>
        <w:tblInd w:w="0" w:type="dxa"/>
        <w:tblLayout w:type="fixed"/>
        <w:tblCellMar>
          <w:top w:w="102" w:type="dxa"/>
          <w:left w:w="62" w:type="dxa"/>
          <w:bottom w:w="102" w:type="dxa"/>
          <w:right w:w="62" w:type="dxa"/>
        </w:tblCellMar>
      </w:tblPr>
      <w:tblGrid>
        <w:gridCol w:w="8277"/>
        <w:gridCol w:w="737"/>
      </w:tblGrid>
      <w:tr>
        <w:tblPrEx>
          <w:tblCellMar>
            <w:top w:w="102" w:type="dxa"/>
            <w:left w:w="62" w:type="dxa"/>
            <w:bottom w:w="102" w:type="dxa"/>
            <w:right w:w="62" w:type="dxa"/>
          </w:tblCellMar>
        </w:tblPrEx>
        <w:tc>
          <w:tcPr>
            <w:tcW w:w="8277" w:type="dxa"/>
            <w:tcBorders>
              <w:top w:val="nil"/>
              <w:left w:val="nil"/>
              <w:bottom w:val="nil"/>
              <w:right w:val="nil"/>
            </w:tcBorders>
            <w:vAlign w:val="bottom"/>
          </w:tcPr>
          <w:p>
            <w:pPr>
              <w:pStyle w:val="5"/>
              <w:jc w:val="right"/>
            </w:pPr>
            <w:r>
              <w:t>Номер страницы</w:t>
            </w:r>
          </w:p>
        </w:tc>
        <w:tc>
          <w:tcPr>
            <w:tcW w:w="737" w:type="dxa"/>
            <w:tcBorders>
              <w:top w:val="nil"/>
              <w:left w:val="nil"/>
              <w:bottom w:val="single" w:color="auto" w:sz="4" w:space="0"/>
              <w:right w:val="nil"/>
            </w:tcBorders>
          </w:tcPr>
          <w:p>
            <w:pPr>
              <w:pStyle w:val="5"/>
            </w:pPr>
          </w:p>
        </w:tc>
      </w:tr>
      <w:tr>
        <w:tblPrEx>
          <w:tblCellMar>
            <w:top w:w="102" w:type="dxa"/>
            <w:left w:w="62" w:type="dxa"/>
            <w:bottom w:w="102" w:type="dxa"/>
            <w:right w:w="62" w:type="dxa"/>
          </w:tblCellMar>
        </w:tblPrEx>
        <w:tc>
          <w:tcPr>
            <w:tcW w:w="8277" w:type="dxa"/>
            <w:tcBorders>
              <w:top w:val="nil"/>
              <w:left w:val="nil"/>
              <w:bottom w:val="nil"/>
              <w:right w:val="nil"/>
            </w:tcBorders>
          </w:tcPr>
          <w:p>
            <w:pPr>
              <w:pStyle w:val="5"/>
              <w:jc w:val="right"/>
            </w:pPr>
            <w:r>
              <w:t>Всего страниц</w:t>
            </w:r>
          </w:p>
        </w:tc>
        <w:tc>
          <w:tcPr>
            <w:tcW w:w="737" w:type="dxa"/>
            <w:tcBorders>
              <w:top w:val="single" w:color="auto" w:sz="4" w:space="0"/>
              <w:left w:val="nil"/>
              <w:bottom w:val="single" w:color="auto" w:sz="4" w:space="0"/>
              <w:right w:val="nil"/>
            </w:tcBorders>
          </w:tcPr>
          <w:p>
            <w:pPr>
              <w:pStyle w:val="5"/>
            </w:pPr>
          </w:p>
        </w:tc>
      </w:tr>
    </w:tbl>
    <w:p>
      <w:pPr>
        <w:pStyle w:val="5"/>
        <w:jc w:val="both"/>
      </w:pPr>
    </w:p>
    <w:tbl>
      <w:tblPr>
        <w:tblStyle w:val="3"/>
        <w:tblW w:w="0" w:type="auto"/>
        <w:tblInd w:w="0" w:type="dxa"/>
        <w:tblLayout w:type="fixed"/>
        <w:tblCellMar>
          <w:top w:w="102" w:type="dxa"/>
          <w:left w:w="62" w:type="dxa"/>
          <w:bottom w:w="102" w:type="dxa"/>
          <w:right w:w="62" w:type="dxa"/>
        </w:tblCellMar>
      </w:tblPr>
      <w:tblGrid>
        <w:gridCol w:w="3798"/>
        <w:gridCol w:w="340"/>
        <w:gridCol w:w="1417"/>
        <w:gridCol w:w="340"/>
        <w:gridCol w:w="1247"/>
        <w:gridCol w:w="340"/>
        <w:gridCol w:w="1531"/>
      </w:tblGrid>
      <w:tr>
        <w:tblPrEx>
          <w:tblCellMar>
            <w:top w:w="102" w:type="dxa"/>
            <w:left w:w="62" w:type="dxa"/>
            <w:bottom w:w="102" w:type="dxa"/>
            <w:right w:w="62" w:type="dxa"/>
          </w:tblCellMar>
        </w:tblPrEx>
        <w:tc>
          <w:tcPr>
            <w:tcW w:w="3798" w:type="dxa"/>
            <w:tcBorders>
              <w:top w:val="nil"/>
              <w:left w:val="nil"/>
              <w:bottom w:val="nil"/>
              <w:right w:val="nil"/>
            </w:tcBorders>
            <w:vAlign w:val="bottom"/>
          </w:tcPr>
          <w:p>
            <w:pPr>
              <w:pStyle w:val="5"/>
            </w:pPr>
            <w:r>
              <w:t>Руководитель органа Федерального казначейства (уполномоченное лицо)</w:t>
            </w:r>
          </w:p>
        </w:tc>
        <w:tc>
          <w:tcPr>
            <w:tcW w:w="340" w:type="dxa"/>
            <w:tcBorders>
              <w:top w:val="nil"/>
              <w:left w:val="nil"/>
              <w:bottom w:val="nil"/>
              <w:right w:val="nil"/>
            </w:tcBorders>
          </w:tcPr>
          <w:p>
            <w:pPr>
              <w:pStyle w:val="5"/>
            </w:pPr>
          </w:p>
        </w:tc>
        <w:tc>
          <w:tcPr>
            <w:tcW w:w="1417" w:type="dxa"/>
            <w:tcBorders>
              <w:top w:val="nil"/>
              <w:left w:val="nil"/>
              <w:bottom w:val="single" w:color="auto" w:sz="4" w:space="0"/>
              <w:right w:val="nil"/>
            </w:tcBorders>
          </w:tcPr>
          <w:p>
            <w:pPr>
              <w:pStyle w:val="5"/>
            </w:pPr>
          </w:p>
        </w:tc>
        <w:tc>
          <w:tcPr>
            <w:tcW w:w="340" w:type="dxa"/>
            <w:tcBorders>
              <w:top w:val="nil"/>
              <w:left w:val="nil"/>
              <w:bottom w:val="nil"/>
              <w:right w:val="nil"/>
            </w:tcBorders>
          </w:tcPr>
          <w:p>
            <w:pPr>
              <w:pStyle w:val="5"/>
            </w:pPr>
          </w:p>
        </w:tc>
        <w:tc>
          <w:tcPr>
            <w:tcW w:w="1247" w:type="dxa"/>
            <w:tcBorders>
              <w:top w:val="nil"/>
              <w:left w:val="nil"/>
              <w:bottom w:val="single" w:color="auto" w:sz="4" w:space="0"/>
              <w:right w:val="nil"/>
            </w:tcBorders>
          </w:tcPr>
          <w:p>
            <w:pPr>
              <w:pStyle w:val="5"/>
            </w:pPr>
          </w:p>
        </w:tc>
        <w:tc>
          <w:tcPr>
            <w:tcW w:w="340" w:type="dxa"/>
            <w:tcBorders>
              <w:top w:val="nil"/>
              <w:left w:val="nil"/>
              <w:bottom w:val="nil"/>
              <w:right w:val="nil"/>
            </w:tcBorders>
          </w:tcPr>
          <w:p>
            <w:pPr>
              <w:pStyle w:val="5"/>
            </w:pPr>
          </w:p>
        </w:tc>
        <w:tc>
          <w:tcPr>
            <w:tcW w:w="1531" w:type="dxa"/>
            <w:tcBorders>
              <w:top w:val="nil"/>
              <w:left w:val="nil"/>
              <w:bottom w:val="single" w:color="auto" w:sz="4" w:space="0"/>
              <w:right w:val="nil"/>
            </w:tcBorders>
          </w:tcPr>
          <w:p>
            <w:pPr>
              <w:pStyle w:val="5"/>
            </w:pPr>
          </w:p>
        </w:tc>
      </w:tr>
      <w:tr>
        <w:tblPrEx>
          <w:tblCellMar>
            <w:top w:w="102" w:type="dxa"/>
            <w:left w:w="62" w:type="dxa"/>
            <w:bottom w:w="102" w:type="dxa"/>
            <w:right w:w="62" w:type="dxa"/>
          </w:tblCellMar>
        </w:tblPrEx>
        <w:tc>
          <w:tcPr>
            <w:tcW w:w="3798" w:type="dxa"/>
            <w:tcBorders>
              <w:top w:val="nil"/>
              <w:left w:val="nil"/>
              <w:bottom w:val="nil"/>
              <w:right w:val="nil"/>
            </w:tcBorders>
            <w:vAlign w:val="bottom"/>
          </w:tcPr>
          <w:p>
            <w:pPr>
              <w:pStyle w:val="5"/>
            </w:pPr>
          </w:p>
        </w:tc>
        <w:tc>
          <w:tcPr>
            <w:tcW w:w="340" w:type="dxa"/>
            <w:tcBorders>
              <w:top w:val="nil"/>
              <w:left w:val="nil"/>
              <w:bottom w:val="nil"/>
              <w:right w:val="nil"/>
            </w:tcBorders>
          </w:tcPr>
          <w:p>
            <w:pPr>
              <w:pStyle w:val="5"/>
            </w:pPr>
          </w:p>
        </w:tc>
        <w:tc>
          <w:tcPr>
            <w:tcW w:w="1417" w:type="dxa"/>
            <w:tcBorders>
              <w:top w:val="single" w:color="auto" w:sz="4" w:space="0"/>
              <w:left w:val="nil"/>
              <w:bottom w:val="nil"/>
              <w:right w:val="nil"/>
            </w:tcBorders>
          </w:tcPr>
          <w:p>
            <w:pPr>
              <w:pStyle w:val="5"/>
              <w:jc w:val="center"/>
            </w:pPr>
            <w:r>
              <w:t>(должность)</w:t>
            </w:r>
          </w:p>
        </w:tc>
        <w:tc>
          <w:tcPr>
            <w:tcW w:w="340" w:type="dxa"/>
            <w:tcBorders>
              <w:top w:val="nil"/>
              <w:left w:val="nil"/>
              <w:bottom w:val="nil"/>
              <w:right w:val="nil"/>
            </w:tcBorders>
          </w:tcPr>
          <w:p>
            <w:pPr>
              <w:pStyle w:val="5"/>
            </w:pPr>
          </w:p>
        </w:tc>
        <w:tc>
          <w:tcPr>
            <w:tcW w:w="1247" w:type="dxa"/>
            <w:tcBorders>
              <w:top w:val="single" w:color="auto" w:sz="4" w:space="0"/>
              <w:left w:val="nil"/>
              <w:bottom w:val="nil"/>
              <w:right w:val="nil"/>
            </w:tcBorders>
          </w:tcPr>
          <w:p>
            <w:pPr>
              <w:pStyle w:val="5"/>
              <w:jc w:val="center"/>
            </w:pPr>
            <w:r>
              <w:t>(подпись)</w:t>
            </w:r>
          </w:p>
        </w:tc>
        <w:tc>
          <w:tcPr>
            <w:tcW w:w="340" w:type="dxa"/>
            <w:tcBorders>
              <w:top w:val="nil"/>
              <w:left w:val="nil"/>
              <w:bottom w:val="nil"/>
              <w:right w:val="nil"/>
            </w:tcBorders>
          </w:tcPr>
          <w:p>
            <w:pPr>
              <w:pStyle w:val="5"/>
            </w:pPr>
          </w:p>
        </w:tc>
        <w:tc>
          <w:tcPr>
            <w:tcW w:w="1531" w:type="dxa"/>
            <w:tcBorders>
              <w:top w:val="single" w:color="auto" w:sz="4" w:space="0"/>
              <w:left w:val="nil"/>
              <w:bottom w:val="nil"/>
              <w:right w:val="nil"/>
            </w:tcBorders>
          </w:tcPr>
          <w:p>
            <w:pPr>
              <w:pStyle w:val="5"/>
              <w:jc w:val="center"/>
            </w:pPr>
            <w:r>
              <w:t>(расшифровка подписи)</w:t>
            </w:r>
          </w:p>
        </w:tc>
      </w:tr>
      <w:tr>
        <w:tblPrEx>
          <w:tblCellMar>
            <w:top w:w="102" w:type="dxa"/>
            <w:left w:w="62" w:type="dxa"/>
            <w:bottom w:w="102" w:type="dxa"/>
            <w:right w:w="62" w:type="dxa"/>
          </w:tblCellMar>
        </w:tblPrEx>
        <w:tc>
          <w:tcPr>
            <w:tcW w:w="3798" w:type="dxa"/>
            <w:tcBorders>
              <w:top w:val="nil"/>
              <w:left w:val="nil"/>
              <w:bottom w:val="nil"/>
              <w:right w:val="nil"/>
            </w:tcBorders>
          </w:tcPr>
          <w:p>
            <w:pPr>
              <w:pStyle w:val="5"/>
            </w:pPr>
            <w:r>
              <w:t>"__" _______ 20__ г.</w:t>
            </w:r>
          </w:p>
        </w:tc>
        <w:tc>
          <w:tcPr>
            <w:tcW w:w="340" w:type="dxa"/>
            <w:tcBorders>
              <w:top w:val="nil"/>
              <w:left w:val="nil"/>
              <w:bottom w:val="nil"/>
              <w:right w:val="nil"/>
            </w:tcBorders>
          </w:tcPr>
          <w:p>
            <w:pPr>
              <w:pStyle w:val="5"/>
            </w:pPr>
          </w:p>
        </w:tc>
        <w:tc>
          <w:tcPr>
            <w:tcW w:w="1417"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1247" w:type="dxa"/>
            <w:tcBorders>
              <w:top w:val="nil"/>
              <w:left w:val="nil"/>
              <w:bottom w:val="nil"/>
              <w:right w:val="nil"/>
            </w:tcBorders>
          </w:tcPr>
          <w:p>
            <w:pPr>
              <w:pStyle w:val="5"/>
            </w:pPr>
          </w:p>
        </w:tc>
        <w:tc>
          <w:tcPr>
            <w:tcW w:w="340" w:type="dxa"/>
            <w:tcBorders>
              <w:top w:val="nil"/>
              <w:left w:val="nil"/>
              <w:bottom w:val="nil"/>
              <w:right w:val="nil"/>
            </w:tcBorders>
          </w:tcPr>
          <w:p>
            <w:pPr>
              <w:pStyle w:val="5"/>
            </w:pPr>
          </w:p>
        </w:tc>
        <w:tc>
          <w:tcPr>
            <w:tcW w:w="1531" w:type="dxa"/>
            <w:tcBorders>
              <w:top w:val="nil"/>
              <w:left w:val="nil"/>
              <w:bottom w:val="nil"/>
              <w:right w:val="nil"/>
            </w:tcBorders>
          </w:tcPr>
          <w:p>
            <w:pPr>
              <w:pStyle w:val="5"/>
            </w:pPr>
          </w:p>
        </w:tc>
      </w:tr>
    </w:tbl>
    <w:p>
      <w:pPr>
        <w:pStyle w:val="5"/>
        <w:jc w:val="both"/>
      </w:pPr>
    </w:p>
    <w:p>
      <w:pPr>
        <w:pStyle w:val="5"/>
        <w:jc w:val="both"/>
      </w:pPr>
    </w:p>
    <w:p>
      <w:pPr>
        <w:pStyle w:val="5"/>
        <w:pBdr>
          <w:top w:val="single" w:color="auto" w:sz="6" w:space="0"/>
        </w:pBdr>
        <w:spacing w:before="100" w:after="100"/>
        <w:jc w:val="both"/>
        <w:rPr>
          <w:sz w:val="2"/>
          <w:szCs w:val="2"/>
        </w:rPr>
      </w:pPr>
    </w:p>
    <w:p/>
    <w:sectPr>
      <w:pgSz w:w="11905" w:h="16838"/>
      <w:pgMar w:top="1134" w:right="850" w:bottom="1134"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C3176"/>
    <w:multiLevelType w:val="singleLevel"/>
    <w:tmpl w:val="44AC317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0B"/>
    <w:rsid w:val="00155E30"/>
    <w:rsid w:val="00165046"/>
    <w:rsid w:val="001A5C03"/>
    <w:rsid w:val="001F37EE"/>
    <w:rsid w:val="00280D2E"/>
    <w:rsid w:val="0029627B"/>
    <w:rsid w:val="002A459C"/>
    <w:rsid w:val="002F2D21"/>
    <w:rsid w:val="0053370B"/>
    <w:rsid w:val="00687789"/>
    <w:rsid w:val="006D6AD8"/>
    <w:rsid w:val="006D7E7F"/>
    <w:rsid w:val="00BD4261"/>
    <w:rsid w:val="00D74F11"/>
    <w:rsid w:val="00F95B0C"/>
    <w:rsid w:val="3BEF0A1E"/>
    <w:rsid w:val="3EBB6FF0"/>
    <w:rsid w:val="610E59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customStyle="1" w:styleId="5">
    <w:name w:val="ConsPlusNormal"/>
    <w:uiPriority w:val="0"/>
    <w:pPr>
      <w:widowControl w:val="0"/>
      <w:autoSpaceDE w:val="0"/>
      <w:autoSpaceDN w:val="0"/>
      <w:spacing w:after="0" w:line="240" w:lineRule="auto"/>
    </w:pPr>
    <w:rPr>
      <w:rFonts w:ascii="Times New Roman" w:hAnsi="Times New Roman" w:eastAsia="Times New Roman" w:cs="Times New Roman"/>
      <w:sz w:val="24"/>
      <w:szCs w:val="20"/>
      <w:lang w:val="ru-RU" w:eastAsia="ru-RU" w:bidi="ar-SA"/>
    </w:rPr>
  </w:style>
  <w:style w:type="paragraph" w:customStyle="1" w:styleId="6">
    <w:name w:val="ConsPlusTitle"/>
    <w:qFormat/>
    <w:uiPriority w:val="0"/>
    <w:pPr>
      <w:widowControl w:val="0"/>
      <w:autoSpaceDE w:val="0"/>
      <w:autoSpaceDN w:val="0"/>
      <w:spacing w:after="0" w:line="240" w:lineRule="auto"/>
    </w:pPr>
    <w:rPr>
      <w:rFonts w:ascii="Times New Roman" w:hAnsi="Times New Roman" w:eastAsia="Times New Roman" w:cs="Times New Roman"/>
      <w:b/>
      <w:sz w:val="24"/>
      <w:szCs w:val="20"/>
      <w:lang w:val="ru-RU" w:eastAsia="ru-RU" w:bidi="ar-SA"/>
    </w:rPr>
  </w:style>
  <w:style w:type="paragraph" w:customStyle="1" w:styleId="7">
    <w:name w:val="ConsPlusTitlePage"/>
    <w:qFormat/>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character" w:customStyle="1" w:styleId="8">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УФК по Волгоградской области</Company>
  <Pages>13</Pages>
  <Words>3370</Words>
  <Characters>19214</Characters>
  <Lines>160</Lines>
  <Paragraphs>45</Paragraphs>
  <TotalTime>18</TotalTime>
  <ScaleCrop>false</ScaleCrop>
  <LinksUpToDate>false</LinksUpToDate>
  <CharactersWithSpaces>22539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2021-11-08T11:53:00Z</dcterms:created>
  <dc:creator>Пользователь</dc:creator>
  <cp:lastModifiedBy>UserN</cp:lastModifiedBy>
  <cp:lastPrinted>2021-11-08T12:05:00Z</cp:lastPrinted>
  <dcterms:modified xsi:type="dcterms:W3CDTF">2024-01-18T07:08:05Z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1063D93338A940049453C02E07EA8559_13</vt:lpwstr>
  </property>
</Properties>
</file>