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before="0"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Более 15 тысяч жителей Волгоградской области получают пенсию </w:t>
      </w:r>
    </w:p>
    <w:p>
      <w:pPr>
        <w:pStyle w:val="Normal"/>
        <w:spacing w:before="0"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в повышенном размере за работу в сельском хозяйстве </w:t>
      </w:r>
    </w:p>
    <w:p>
      <w:pPr>
        <w:pStyle w:val="Normal"/>
        <w:spacing w:before="0" w:after="86"/>
        <w:jc w:val="center"/>
        <w:rPr>
          <w:rFonts w:ascii="Tahoma" w:hAnsi="Tahoma"/>
          <w:b/>
          <w:bCs/>
          <w:sz w:val="10"/>
          <w:szCs w:val="10"/>
        </w:rPr>
      </w:pPr>
      <w:r>
        <w:rPr>
          <w:rFonts w:ascii="Tahoma" w:hAnsi="Tahoma"/>
          <w:b/>
          <w:bCs/>
          <w:sz w:val="10"/>
          <w:szCs w:val="10"/>
        </w:rPr>
      </w:r>
    </w:p>
    <w:p>
      <w:pPr>
        <w:pStyle w:val="Normal"/>
        <w:spacing w:before="0"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В Волгоградской области в 2024 году общее число получателей пенсии в повышенном размере за работу в сельском хозяйстве составляет 15 050 человек. Такую социальную поддержку получают неработающие пенсионеры, которые не меньше 30 лет проработали в сельском хозяйстве.</w:t>
      </w:r>
    </w:p>
    <w:p>
      <w:pPr>
        <w:pStyle w:val="Normal"/>
        <w:spacing w:before="0"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Учитывается работа по определ</w:t>
      </w:r>
      <w:r>
        <w:rPr>
          <w:rFonts w:ascii="Tahoma" w:hAnsi="Tahoma"/>
          <w:sz w:val="28"/>
          <w:szCs w:val="28"/>
        </w:rPr>
        <w:t>ё</w:t>
      </w:r>
      <w:r>
        <w:rPr>
          <w:rFonts w:ascii="Tahoma" w:hAnsi="Tahoma"/>
          <w:sz w:val="28"/>
          <w:szCs w:val="28"/>
        </w:rPr>
        <w:t>нным профессиям и должностям — всего 500 специальностей, список которых утвержд</w:t>
      </w:r>
      <w:r>
        <w:rPr>
          <w:rFonts w:ascii="Tahoma" w:hAnsi="Tahoma"/>
          <w:sz w:val="28"/>
          <w:szCs w:val="28"/>
        </w:rPr>
        <w:t>ё</w:t>
      </w:r>
      <w:r>
        <w:rPr>
          <w:rFonts w:ascii="Tahoma" w:hAnsi="Tahoma"/>
          <w:sz w:val="28"/>
          <w:szCs w:val="28"/>
        </w:rPr>
        <w:t>н Правительством РФ. В их числе механизаторы, мастера машинного доения, слесари по ремонту сельскохозяйственных машин и др.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>
      <w:pPr>
        <w:pStyle w:val="Normal"/>
        <w:spacing w:before="0"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</w:t>
      </w:r>
      <w:r>
        <w:rPr>
          <w:rFonts w:ascii="Tahoma" w:hAnsi="Tahoma"/>
          <w:sz w:val="28"/>
          <w:szCs w:val="28"/>
        </w:rPr>
        <w:t>ё</w:t>
      </w:r>
      <w:r>
        <w:rPr>
          <w:rFonts w:ascii="Tahoma" w:hAnsi="Tahoma"/>
          <w:sz w:val="28"/>
          <w:szCs w:val="28"/>
        </w:rPr>
        <w:t>том доплаты за работу в сельском хозяйстве сегодня составляет около 25 тысяч рублей.</w:t>
      </w:r>
    </w:p>
    <w:p>
      <w:pPr>
        <w:pStyle w:val="Normal"/>
        <w:spacing w:before="0"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>
      <w:pPr>
        <w:pStyle w:val="Normal"/>
        <w:spacing w:before="0" w:after="86"/>
        <w:jc w:val="both"/>
        <w:rPr/>
      </w:pPr>
      <w:r>
        <w:rPr>
          <w:rFonts w:ascii="Tahoma" w:hAnsi="Tahoma"/>
          <w:sz w:val="28"/>
          <w:szCs w:val="28"/>
        </w:rPr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Strong"/>
          <w:rFonts w:ascii="Tahoma" w:hAnsi="Tahoma"/>
          <w:sz w:val="28"/>
          <w:szCs w:val="28"/>
        </w:rPr>
        <w:t xml:space="preserve"> </w:t>
      </w:r>
      <w:r>
        <w:rPr>
          <w:rStyle w:val="Strong"/>
          <w:rFonts w:ascii="Tahoma" w:hAnsi="Tahoma"/>
          <w:b w:val="false"/>
          <w:sz w:val="28"/>
          <w:szCs w:val="28"/>
        </w:rPr>
        <w:t>пн-чт с 8:00 до 17:00 час., пт – с 8:00 до 16:00).</w:t>
      </w:r>
    </w:p>
    <w:p>
      <w:pPr>
        <w:pStyle w:val="Normal"/>
        <w:spacing w:before="0" w:after="86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232</Words>
  <Characters>1484</Characters>
  <CharactersWithSpaces>1760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2024-10-11T09:31:35Z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